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79" w:rsidRDefault="00622C79">
      <w:pPr>
        <w:pStyle w:val="Corpsdetexte"/>
        <w:spacing w:before="10"/>
        <w:ind w:left="0"/>
        <w:rPr>
          <w:rFonts w:ascii="Times New Roman"/>
          <w:sz w:val="4"/>
        </w:rPr>
      </w:pPr>
    </w:p>
    <w:p w:rsidR="00622C79" w:rsidRPr="00C47708" w:rsidRDefault="00C47708">
      <w:pPr>
        <w:tabs>
          <w:tab w:val="left" w:pos="3269"/>
          <w:tab w:val="left" w:pos="5054"/>
          <w:tab w:val="left" w:pos="8044"/>
        </w:tabs>
        <w:ind w:left="2560"/>
        <w:rPr>
          <w:rFonts w:ascii="Times New Roman"/>
          <w:b/>
          <w:color w:val="365F91" w:themeColor="accent1" w:themeShade="BF"/>
          <w:sz w:val="52"/>
          <w:szCs w:val="52"/>
        </w:rPr>
      </w:pPr>
      <w:r>
        <w:rPr>
          <w:noProof/>
          <w:lang w:eastAsia="fr-FR"/>
        </w:rPr>
        <w:drawing>
          <wp:anchor distT="0" distB="0" distL="0" distR="0" simplePos="0" relativeHeight="15729664" behindDoc="0" locked="0" layoutInCell="1" allowOverlap="1">
            <wp:simplePos x="0" y="0"/>
            <wp:positionH relativeFrom="page">
              <wp:posOffset>247015</wp:posOffset>
            </wp:positionH>
            <wp:positionV relativeFrom="paragraph">
              <wp:posOffset>38100</wp:posOffset>
            </wp:positionV>
            <wp:extent cx="975371" cy="984797"/>
            <wp:effectExtent l="0" t="0" r="0" b="0"/>
            <wp:wrapNone/>
            <wp:docPr id="7" name="image4.png" descr="logo pp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975371" cy="984797"/>
                    </a:xfrm>
                    <a:prstGeom prst="rect">
                      <a:avLst/>
                    </a:prstGeom>
                  </pic:spPr>
                </pic:pic>
              </a:graphicData>
            </a:graphic>
          </wp:anchor>
        </w:drawing>
      </w:r>
      <w:r w:rsidR="002D0C8B">
        <w:rPr>
          <w:rFonts w:ascii="Times New Roman"/>
          <w:b/>
          <w:noProof/>
          <w:color w:val="365F91" w:themeColor="accent1" w:themeShade="BF"/>
          <w:spacing w:val="131"/>
          <w:sz w:val="52"/>
          <w:szCs w:val="52"/>
          <w:lang w:eastAsia="fr-FR"/>
        </w:rPr>
        <w:t>9</w:t>
      </w:r>
      <w:r w:rsidRPr="00C47708">
        <w:rPr>
          <w:rFonts w:ascii="Times New Roman"/>
          <w:b/>
          <w:noProof/>
          <w:color w:val="365F91" w:themeColor="accent1" w:themeShade="BF"/>
          <w:spacing w:val="131"/>
          <w:sz w:val="52"/>
          <w:szCs w:val="52"/>
          <w:lang w:eastAsia="fr-FR"/>
        </w:rPr>
        <w:t>eme TOURNOI DU PPCI</w:t>
      </w:r>
    </w:p>
    <w:p w:rsidR="00622C79" w:rsidRDefault="00622C79">
      <w:pPr>
        <w:pStyle w:val="Corpsdetexte"/>
        <w:spacing w:before="6"/>
        <w:ind w:left="0"/>
        <w:rPr>
          <w:rFonts w:ascii="Times New Roman"/>
          <w:sz w:val="23"/>
        </w:rPr>
      </w:pPr>
    </w:p>
    <w:p w:rsidR="00622C79" w:rsidRDefault="00E023E3">
      <w:pPr>
        <w:pStyle w:val="Titre"/>
      </w:pPr>
      <w:r>
        <w:rPr>
          <w:color w:val="365F91"/>
        </w:rPr>
        <w:t>REGLEMENT</w:t>
      </w:r>
    </w:p>
    <w:p w:rsidR="00622C79" w:rsidRDefault="00E023E3">
      <w:pPr>
        <w:spacing w:before="289"/>
        <w:ind w:left="1216"/>
        <w:rPr>
          <w:b/>
          <w:sz w:val="24"/>
        </w:rPr>
      </w:pPr>
      <w:r>
        <w:rPr>
          <w:rFonts w:ascii="Cambria" w:hAnsi="Cambria"/>
          <w:b/>
          <w:color w:val="4F81BC"/>
          <w:sz w:val="26"/>
        </w:rPr>
        <w:t xml:space="preserve">Article 1 : </w:t>
      </w:r>
      <w:r>
        <w:rPr>
          <w:sz w:val="24"/>
        </w:rPr>
        <w:t xml:space="preserve">Le PPCI organise son tournoi régional les </w:t>
      </w:r>
      <w:r>
        <w:rPr>
          <w:b/>
          <w:sz w:val="24"/>
        </w:rPr>
        <w:t xml:space="preserve">Samedi </w:t>
      </w:r>
      <w:r w:rsidR="00CB6EB6">
        <w:rPr>
          <w:b/>
          <w:sz w:val="24"/>
        </w:rPr>
        <w:t>3</w:t>
      </w:r>
      <w:r w:rsidR="002D0C8B">
        <w:rPr>
          <w:b/>
          <w:sz w:val="24"/>
        </w:rPr>
        <w:t>0</w:t>
      </w:r>
      <w:r w:rsidR="00CB6EB6">
        <w:rPr>
          <w:b/>
          <w:sz w:val="24"/>
        </w:rPr>
        <w:t xml:space="preserve"> octobre</w:t>
      </w:r>
      <w:r>
        <w:rPr>
          <w:b/>
          <w:sz w:val="24"/>
        </w:rPr>
        <w:t xml:space="preserve"> et dimanche </w:t>
      </w:r>
      <w:r w:rsidR="002D0C8B">
        <w:rPr>
          <w:b/>
          <w:sz w:val="24"/>
        </w:rPr>
        <w:t>31 octobre</w:t>
      </w:r>
      <w:r>
        <w:rPr>
          <w:b/>
          <w:sz w:val="24"/>
        </w:rPr>
        <w:t xml:space="preserve"> 20</w:t>
      </w:r>
      <w:r w:rsidR="00CB6EB6">
        <w:rPr>
          <w:b/>
          <w:sz w:val="24"/>
        </w:rPr>
        <w:t>2</w:t>
      </w:r>
      <w:r w:rsidR="002D0C8B">
        <w:rPr>
          <w:b/>
          <w:sz w:val="24"/>
        </w:rPr>
        <w:t>1</w:t>
      </w:r>
    </w:p>
    <w:p w:rsidR="00622C79" w:rsidRDefault="00622C79">
      <w:pPr>
        <w:pStyle w:val="Corpsdetexte"/>
        <w:ind w:left="0"/>
        <w:rPr>
          <w:b/>
        </w:rPr>
      </w:pPr>
    </w:p>
    <w:p w:rsidR="00622C79" w:rsidRDefault="00E023E3">
      <w:pPr>
        <w:pStyle w:val="Titre1"/>
      </w:pPr>
      <w:r>
        <w:t>PEPSI</w:t>
      </w:r>
    </w:p>
    <w:p w:rsidR="00622C79" w:rsidRDefault="00E023E3">
      <w:pPr>
        <w:spacing w:before="2"/>
        <w:ind w:left="4759" w:right="4032"/>
        <w:jc w:val="center"/>
        <w:rPr>
          <w:b/>
          <w:sz w:val="28"/>
        </w:rPr>
      </w:pPr>
      <w:r>
        <w:rPr>
          <w:b/>
          <w:sz w:val="28"/>
        </w:rPr>
        <w:t>Rue Georges Brassens 36100 ISSOUDUN</w:t>
      </w:r>
    </w:p>
    <w:p w:rsidR="00622C79" w:rsidRDefault="00622C79">
      <w:pPr>
        <w:pStyle w:val="Corpsdetexte"/>
        <w:spacing w:before="12"/>
        <w:ind w:left="0"/>
        <w:rPr>
          <w:b/>
          <w:sz w:val="23"/>
        </w:rPr>
      </w:pPr>
    </w:p>
    <w:p w:rsidR="00622C79" w:rsidRDefault="00E023E3">
      <w:pPr>
        <w:pStyle w:val="Corpsdetexte"/>
        <w:ind w:right="486"/>
      </w:pPr>
      <w:r>
        <w:t>Ce tournoi régional est ouvert à tous les joueurs et joueuses de la ligue du centre, munis de la licence traditionnelle validée FFTT.</w:t>
      </w:r>
    </w:p>
    <w:p w:rsidR="00622C79" w:rsidRDefault="00E023E3">
      <w:pPr>
        <w:pStyle w:val="Corpsdetexte"/>
        <w:ind w:right="1024"/>
      </w:pPr>
      <w:r>
        <w:t>Le classement des joueurs pris en compte sera le classement de la saison 20</w:t>
      </w:r>
      <w:r w:rsidR="00CB6EB6">
        <w:t>2</w:t>
      </w:r>
      <w:r w:rsidR="002D0C8B">
        <w:t>1</w:t>
      </w:r>
      <w:r>
        <w:t>/202</w:t>
      </w:r>
      <w:r w:rsidR="002D0C8B">
        <w:t>2</w:t>
      </w:r>
      <w:r>
        <w:t xml:space="preserve"> phas</w:t>
      </w:r>
      <w:r w:rsidR="00D14E90">
        <w:t>e 1. Ce tournoi se jouera sur 22</w:t>
      </w:r>
      <w:r>
        <w:t xml:space="preserve"> tables.</w:t>
      </w:r>
    </w:p>
    <w:p w:rsidR="00622C79" w:rsidRDefault="00622C79">
      <w:pPr>
        <w:pStyle w:val="Corpsdetexte"/>
        <w:spacing w:before="10"/>
        <w:ind w:left="0"/>
        <w:rPr>
          <w:sz w:val="23"/>
        </w:rPr>
      </w:pPr>
    </w:p>
    <w:p w:rsidR="00622C79" w:rsidRDefault="00E023E3">
      <w:pPr>
        <w:pStyle w:val="Corpsdetexte"/>
        <w:spacing w:line="276" w:lineRule="auto"/>
        <w:ind w:right="486"/>
      </w:pPr>
      <w:r>
        <w:rPr>
          <w:rFonts w:ascii="Cambria" w:hAnsi="Cambria"/>
          <w:b/>
          <w:color w:val="4F81BC"/>
          <w:sz w:val="26"/>
        </w:rPr>
        <w:t xml:space="preserve">Article 1 bis : </w:t>
      </w:r>
      <w:r>
        <w:t>Le tableau Promotion et non-licencié est ouvert à tous. Chaque joueur de ce tableau devra signer une décharge pour pouvoir participer.</w:t>
      </w:r>
    </w:p>
    <w:p w:rsidR="00622C79" w:rsidRDefault="00E023E3">
      <w:pPr>
        <w:pStyle w:val="Corpsdetexte"/>
        <w:spacing w:before="201" w:line="276" w:lineRule="auto"/>
        <w:ind w:right="486"/>
      </w:pPr>
      <w:r>
        <w:rPr>
          <w:rFonts w:ascii="Cambria" w:hAnsi="Cambria"/>
          <w:b/>
          <w:color w:val="4F81BC"/>
          <w:sz w:val="26"/>
        </w:rPr>
        <w:t xml:space="preserve">Article 2 : </w:t>
      </w:r>
      <w:r>
        <w:t>Le tournoi est homologué FFTT. Les résultats seront pris en compte par la FFTT. Le Juge-arbitrage sera assuré par le CITT 36.</w:t>
      </w:r>
    </w:p>
    <w:p w:rsidR="00622C79" w:rsidRDefault="00E023E3">
      <w:pPr>
        <w:spacing w:before="199"/>
        <w:ind w:left="1216"/>
        <w:rPr>
          <w:sz w:val="24"/>
        </w:rPr>
      </w:pPr>
      <w:r>
        <w:rPr>
          <w:rFonts w:ascii="Cambria"/>
          <w:b/>
          <w:color w:val="4F81BC"/>
          <w:sz w:val="26"/>
        </w:rPr>
        <w:t xml:space="preserve">Article 3 : </w:t>
      </w:r>
      <w:r>
        <w:rPr>
          <w:sz w:val="24"/>
        </w:rPr>
        <w:t>Les tableaux :</w:t>
      </w:r>
    </w:p>
    <w:p w:rsidR="00622C79" w:rsidRDefault="00E023E3">
      <w:pPr>
        <w:pStyle w:val="Corpsdetexte"/>
        <w:spacing w:before="2"/>
      </w:pPr>
      <w:r>
        <w:t xml:space="preserve">Samedi </w:t>
      </w:r>
      <w:r w:rsidR="00CB6EB6">
        <w:t>3</w:t>
      </w:r>
      <w:r w:rsidR="002D0C8B">
        <w:t>0</w:t>
      </w:r>
      <w:r w:rsidR="00CB6EB6">
        <w:t xml:space="preserve"> octobre</w:t>
      </w:r>
      <w:r>
        <w:t>:</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687"/>
        <w:gridCol w:w="1275"/>
        <w:gridCol w:w="1560"/>
        <w:gridCol w:w="994"/>
        <w:gridCol w:w="991"/>
        <w:gridCol w:w="991"/>
      </w:tblGrid>
      <w:tr w:rsidR="00622C79">
        <w:trPr>
          <w:trHeight w:val="390"/>
        </w:trPr>
        <w:tc>
          <w:tcPr>
            <w:tcW w:w="1277" w:type="dxa"/>
            <w:vMerge w:val="restart"/>
            <w:shd w:val="clear" w:color="auto" w:fill="FFC000"/>
          </w:tcPr>
          <w:p w:rsidR="00622C79" w:rsidRDefault="00E023E3">
            <w:pPr>
              <w:pStyle w:val="TableParagraph"/>
              <w:spacing w:before="199"/>
              <w:ind w:left="110"/>
              <w:jc w:val="left"/>
              <w:rPr>
                <w:b/>
                <w:sz w:val="32"/>
              </w:rPr>
            </w:pPr>
            <w:r>
              <w:rPr>
                <w:b/>
                <w:sz w:val="32"/>
              </w:rPr>
              <w:t>Tableau</w:t>
            </w:r>
          </w:p>
        </w:tc>
        <w:tc>
          <w:tcPr>
            <w:tcW w:w="3687" w:type="dxa"/>
            <w:vMerge w:val="restart"/>
            <w:shd w:val="clear" w:color="auto" w:fill="FFC000"/>
          </w:tcPr>
          <w:p w:rsidR="00622C79" w:rsidRDefault="00E023E3">
            <w:pPr>
              <w:pStyle w:val="TableParagraph"/>
              <w:spacing w:before="199"/>
              <w:ind w:left="1204"/>
              <w:jc w:val="left"/>
              <w:rPr>
                <w:b/>
                <w:sz w:val="32"/>
              </w:rPr>
            </w:pPr>
            <w:r>
              <w:rPr>
                <w:b/>
                <w:sz w:val="32"/>
              </w:rPr>
              <w:t>Catégorie</w:t>
            </w:r>
          </w:p>
        </w:tc>
        <w:tc>
          <w:tcPr>
            <w:tcW w:w="1275" w:type="dxa"/>
            <w:vMerge w:val="restart"/>
            <w:shd w:val="clear" w:color="auto" w:fill="FFC000"/>
          </w:tcPr>
          <w:p w:rsidR="00622C79" w:rsidRDefault="00E023E3">
            <w:pPr>
              <w:pStyle w:val="TableParagraph"/>
              <w:spacing w:before="199"/>
              <w:ind w:left="139"/>
              <w:jc w:val="left"/>
              <w:rPr>
                <w:b/>
                <w:sz w:val="32"/>
              </w:rPr>
            </w:pPr>
            <w:r>
              <w:rPr>
                <w:b/>
                <w:sz w:val="32"/>
              </w:rPr>
              <w:t>Horaire</w:t>
            </w:r>
          </w:p>
        </w:tc>
        <w:tc>
          <w:tcPr>
            <w:tcW w:w="1560" w:type="dxa"/>
            <w:vMerge w:val="restart"/>
            <w:shd w:val="clear" w:color="auto" w:fill="FFC000"/>
          </w:tcPr>
          <w:p w:rsidR="00622C79" w:rsidRDefault="00E023E3">
            <w:pPr>
              <w:pStyle w:val="TableParagraph"/>
              <w:spacing w:before="199"/>
              <w:ind w:left="527"/>
              <w:jc w:val="left"/>
              <w:rPr>
                <w:b/>
                <w:sz w:val="32"/>
              </w:rPr>
            </w:pPr>
            <w:r>
              <w:rPr>
                <w:b/>
                <w:sz w:val="32"/>
              </w:rPr>
              <w:t>Prix</w:t>
            </w:r>
          </w:p>
        </w:tc>
        <w:tc>
          <w:tcPr>
            <w:tcW w:w="2976" w:type="dxa"/>
            <w:gridSpan w:val="3"/>
            <w:shd w:val="clear" w:color="auto" w:fill="FFC000"/>
          </w:tcPr>
          <w:p w:rsidR="00622C79" w:rsidRDefault="00E023E3">
            <w:pPr>
              <w:pStyle w:val="TableParagraph"/>
              <w:spacing w:before="0" w:line="371" w:lineRule="exact"/>
              <w:ind w:left="900"/>
              <w:jc w:val="left"/>
              <w:rPr>
                <w:b/>
                <w:sz w:val="32"/>
              </w:rPr>
            </w:pPr>
            <w:r>
              <w:rPr>
                <w:b/>
                <w:sz w:val="32"/>
              </w:rPr>
              <w:t>Dotation</w:t>
            </w:r>
          </w:p>
        </w:tc>
      </w:tr>
      <w:tr w:rsidR="00622C79">
        <w:trPr>
          <w:trHeight w:val="390"/>
        </w:trPr>
        <w:tc>
          <w:tcPr>
            <w:tcW w:w="1277" w:type="dxa"/>
            <w:vMerge/>
            <w:tcBorders>
              <w:top w:val="nil"/>
            </w:tcBorders>
            <w:shd w:val="clear" w:color="auto" w:fill="FFC000"/>
          </w:tcPr>
          <w:p w:rsidR="00622C79" w:rsidRDefault="00622C79">
            <w:pPr>
              <w:rPr>
                <w:sz w:val="2"/>
                <w:szCs w:val="2"/>
              </w:rPr>
            </w:pPr>
          </w:p>
        </w:tc>
        <w:tc>
          <w:tcPr>
            <w:tcW w:w="3687" w:type="dxa"/>
            <w:vMerge/>
            <w:tcBorders>
              <w:top w:val="nil"/>
            </w:tcBorders>
            <w:shd w:val="clear" w:color="auto" w:fill="FFC000"/>
          </w:tcPr>
          <w:p w:rsidR="00622C79" w:rsidRDefault="00622C79">
            <w:pPr>
              <w:rPr>
                <w:sz w:val="2"/>
                <w:szCs w:val="2"/>
              </w:rPr>
            </w:pPr>
          </w:p>
        </w:tc>
        <w:tc>
          <w:tcPr>
            <w:tcW w:w="1275" w:type="dxa"/>
            <w:vMerge/>
            <w:tcBorders>
              <w:top w:val="nil"/>
            </w:tcBorders>
            <w:shd w:val="clear" w:color="auto" w:fill="FFC000"/>
          </w:tcPr>
          <w:p w:rsidR="00622C79" w:rsidRDefault="00622C79">
            <w:pPr>
              <w:rPr>
                <w:sz w:val="2"/>
                <w:szCs w:val="2"/>
              </w:rPr>
            </w:pPr>
          </w:p>
        </w:tc>
        <w:tc>
          <w:tcPr>
            <w:tcW w:w="1560" w:type="dxa"/>
            <w:vMerge/>
            <w:tcBorders>
              <w:top w:val="nil"/>
            </w:tcBorders>
            <w:shd w:val="clear" w:color="auto" w:fill="FFC000"/>
          </w:tcPr>
          <w:p w:rsidR="00622C79" w:rsidRDefault="00622C79">
            <w:pPr>
              <w:rPr>
                <w:sz w:val="2"/>
                <w:szCs w:val="2"/>
              </w:rPr>
            </w:pPr>
          </w:p>
        </w:tc>
        <w:tc>
          <w:tcPr>
            <w:tcW w:w="994" w:type="dxa"/>
            <w:shd w:val="clear" w:color="auto" w:fill="FFC000"/>
          </w:tcPr>
          <w:p w:rsidR="00622C79" w:rsidRDefault="00E023E3">
            <w:pPr>
              <w:pStyle w:val="TableParagraph"/>
              <w:spacing w:before="23" w:line="122" w:lineRule="auto"/>
              <w:ind w:left="265" w:right="258"/>
              <w:rPr>
                <w:b/>
                <w:sz w:val="16"/>
              </w:rPr>
            </w:pPr>
            <w:r>
              <w:rPr>
                <w:b/>
                <w:position w:val="-10"/>
                <w:sz w:val="24"/>
              </w:rPr>
              <w:t>1</w:t>
            </w:r>
            <w:r>
              <w:rPr>
                <w:b/>
                <w:sz w:val="16"/>
              </w:rPr>
              <w:t>er</w:t>
            </w:r>
          </w:p>
        </w:tc>
        <w:tc>
          <w:tcPr>
            <w:tcW w:w="991" w:type="dxa"/>
            <w:shd w:val="clear" w:color="auto" w:fill="FFC000"/>
          </w:tcPr>
          <w:p w:rsidR="00622C79" w:rsidRDefault="00E023E3">
            <w:pPr>
              <w:pStyle w:val="TableParagraph"/>
              <w:spacing w:before="23" w:line="122" w:lineRule="auto"/>
              <w:ind w:left="264" w:right="255"/>
              <w:rPr>
                <w:b/>
                <w:sz w:val="16"/>
              </w:rPr>
            </w:pPr>
            <w:r>
              <w:rPr>
                <w:b/>
                <w:position w:val="-10"/>
                <w:sz w:val="24"/>
              </w:rPr>
              <w:t>2</w:t>
            </w:r>
            <w:proofErr w:type="spellStart"/>
            <w:r>
              <w:rPr>
                <w:b/>
                <w:sz w:val="16"/>
              </w:rPr>
              <w:t>ème</w:t>
            </w:r>
            <w:proofErr w:type="spellEnd"/>
          </w:p>
        </w:tc>
        <w:tc>
          <w:tcPr>
            <w:tcW w:w="991" w:type="dxa"/>
            <w:shd w:val="clear" w:color="auto" w:fill="FFC000"/>
          </w:tcPr>
          <w:p w:rsidR="00622C79" w:rsidRDefault="00E023E3">
            <w:pPr>
              <w:pStyle w:val="TableParagraph"/>
              <w:spacing w:before="23" w:line="122" w:lineRule="auto"/>
              <w:ind w:left="288"/>
              <w:jc w:val="left"/>
              <w:rPr>
                <w:b/>
                <w:sz w:val="16"/>
              </w:rPr>
            </w:pPr>
            <w:r>
              <w:rPr>
                <w:b/>
                <w:position w:val="-10"/>
                <w:sz w:val="24"/>
              </w:rPr>
              <w:t>3</w:t>
            </w:r>
            <w:proofErr w:type="spellStart"/>
            <w:r>
              <w:rPr>
                <w:b/>
                <w:sz w:val="16"/>
              </w:rPr>
              <w:t>ème</w:t>
            </w:r>
            <w:proofErr w:type="spellEnd"/>
          </w:p>
        </w:tc>
      </w:tr>
      <w:tr w:rsidR="00622C79">
        <w:trPr>
          <w:trHeight w:val="397"/>
        </w:trPr>
        <w:tc>
          <w:tcPr>
            <w:tcW w:w="1277" w:type="dxa"/>
          </w:tcPr>
          <w:p w:rsidR="00622C79" w:rsidRDefault="00E023E3">
            <w:pPr>
              <w:pStyle w:val="TableParagraph"/>
              <w:ind w:left="13"/>
              <w:rPr>
                <w:sz w:val="24"/>
              </w:rPr>
            </w:pPr>
            <w:r>
              <w:rPr>
                <w:sz w:val="24"/>
              </w:rPr>
              <w:t>A</w:t>
            </w:r>
          </w:p>
        </w:tc>
        <w:tc>
          <w:tcPr>
            <w:tcW w:w="3687" w:type="dxa"/>
          </w:tcPr>
          <w:p w:rsidR="00622C79" w:rsidRDefault="00E023E3">
            <w:pPr>
              <w:pStyle w:val="TableParagraph"/>
              <w:ind w:left="174" w:right="163"/>
              <w:rPr>
                <w:sz w:val="24"/>
              </w:rPr>
            </w:pPr>
            <w:r>
              <w:rPr>
                <w:sz w:val="24"/>
              </w:rPr>
              <w:t>non-licencié</w:t>
            </w:r>
          </w:p>
        </w:tc>
        <w:tc>
          <w:tcPr>
            <w:tcW w:w="1275" w:type="dxa"/>
          </w:tcPr>
          <w:p w:rsidR="00622C79" w:rsidRDefault="00E023E3">
            <w:pPr>
              <w:pStyle w:val="TableParagraph"/>
              <w:ind w:left="311" w:right="300"/>
              <w:rPr>
                <w:sz w:val="24"/>
              </w:rPr>
            </w:pPr>
            <w:r>
              <w:rPr>
                <w:sz w:val="24"/>
              </w:rPr>
              <w:t>13h30</w:t>
            </w:r>
          </w:p>
        </w:tc>
        <w:tc>
          <w:tcPr>
            <w:tcW w:w="1560" w:type="dxa"/>
          </w:tcPr>
          <w:p w:rsidR="00622C79" w:rsidRDefault="00E023E3">
            <w:pPr>
              <w:pStyle w:val="TableParagraph"/>
              <w:ind w:left="172" w:right="156"/>
              <w:rPr>
                <w:sz w:val="24"/>
              </w:rPr>
            </w:pPr>
            <w:r>
              <w:rPr>
                <w:sz w:val="24"/>
              </w:rPr>
              <w:t>5€/joueur</w:t>
            </w:r>
          </w:p>
        </w:tc>
        <w:tc>
          <w:tcPr>
            <w:tcW w:w="994" w:type="dxa"/>
          </w:tcPr>
          <w:p w:rsidR="00622C79" w:rsidRDefault="00E023E3">
            <w:pPr>
              <w:pStyle w:val="TableParagraph"/>
              <w:ind w:left="265" w:right="256"/>
              <w:rPr>
                <w:sz w:val="24"/>
              </w:rPr>
            </w:pPr>
            <w:r>
              <w:rPr>
                <w:sz w:val="24"/>
              </w:rPr>
              <w:t>Lot</w:t>
            </w:r>
          </w:p>
        </w:tc>
        <w:tc>
          <w:tcPr>
            <w:tcW w:w="991" w:type="dxa"/>
          </w:tcPr>
          <w:p w:rsidR="00622C79" w:rsidRDefault="00E023E3">
            <w:pPr>
              <w:pStyle w:val="TableParagraph"/>
              <w:ind w:left="263" w:right="255"/>
              <w:rPr>
                <w:sz w:val="24"/>
              </w:rPr>
            </w:pPr>
            <w:r>
              <w:rPr>
                <w:sz w:val="24"/>
              </w:rPr>
              <w:t>Lot</w:t>
            </w:r>
          </w:p>
        </w:tc>
        <w:tc>
          <w:tcPr>
            <w:tcW w:w="991" w:type="dxa"/>
          </w:tcPr>
          <w:p w:rsidR="00622C79" w:rsidRDefault="00E023E3">
            <w:pPr>
              <w:pStyle w:val="TableParagraph"/>
              <w:ind w:left="341"/>
              <w:jc w:val="left"/>
              <w:rPr>
                <w:sz w:val="24"/>
              </w:rPr>
            </w:pPr>
            <w:r>
              <w:rPr>
                <w:sz w:val="24"/>
              </w:rPr>
              <w:t>Lot</w:t>
            </w:r>
          </w:p>
        </w:tc>
      </w:tr>
      <w:tr w:rsidR="00622C79">
        <w:trPr>
          <w:trHeight w:val="396"/>
        </w:trPr>
        <w:tc>
          <w:tcPr>
            <w:tcW w:w="1277" w:type="dxa"/>
          </w:tcPr>
          <w:p w:rsidR="00622C79" w:rsidRDefault="00E023E3">
            <w:pPr>
              <w:pStyle w:val="TableParagraph"/>
              <w:ind w:left="15"/>
              <w:rPr>
                <w:sz w:val="24"/>
              </w:rPr>
            </w:pPr>
            <w:r>
              <w:rPr>
                <w:sz w:val="24"/>
              </w:rPr>
              <w:t>B</w:t>
            </w:r>
          </w:p>
        </w:tc>
        <w:tc>
          <w:tcPr>
            <w:tcW w:w="3687" w:type="dxa"/>
          </w:tcPr>
          <w:p w:rsidR="00622C79" w:rsidRDefault="00E023E3">
            <w:pPr>
              <w:pStyle w:val="TableParagraph"/>
              <w:ind w:left="172" w:right="163"/>
              <w:rPr>
                <w:sz w:val="24"/>
              </w:rPr>
            </w:pPr>
            <w:r>
              <w:rPr>
                <w:sz w:val="24"/>
              </w:rPr>
              <w:t>Promotion</w:t>
            </w:r>
          </w:p>
        </w:tc>
        <w:tc>
          <w:tcPr>
            <w:tcW w:w="1275" w:type="dxa"/>
          </w:tcPr>
          <w:p w:rsidR="00622C79" w:rsidRDefault="00E023E3">
            <w:pPr>
              <w:pStyle w:val="TableParagraph"/>
              <w:ind w:left="310" w:right="300"/>
              <w:rPr>
                <w:sz w:val="24"/>
              </w:rPr>
            </w:pPr>
            <w:r>
              <w:rPr>
                <w:sz w:val="24"/>
              </w:rPr>
              <w:t>13h30</w:t>
            </w:r>
          </w:p>
        </w:tc>
        <w:tc>
          <w:tcPr>
            <w:tcW w:w="1560" w:type="dxa"/>
          </w:tcPr>
          <w:p w:rsidR="00622C79" w:rsidRDefault="00E023E3">
            <w:pPr>
              <w:pStyle w:val="TableParagraph"/>
              <w:ind w:left="172" w:right="156"/>
              <w:rPr>
                <w:sz w:val="24"/>
              </w:rPr>
            </w:pPr>
            <w:r>
              <w:rPr>
                <w:sz w:val="24"/>
              </w:rPr>
              <w:t>5€/joueur</w:t>
            </w:r>
          </w:p>
        </w:tc>
        <w:tc>
          <w:tcPr>
            <w:tcW w:w="994" w:type="dxa"/>
          </w:tcPr>
          <w:p w:rsidR="00622C79" w:rsidRDefault="00E023E3">
            <w:pPr>
              <w:pStyle w:val="TableParagraph"/>
              <w:ind w:left="265" w:right="256"/>
              <w:rPr>
                <w:sz w:val="24"/>
              </w:rPr>
            </w:pPr>
            <w:r>
              <w:rPr>
                <w:sz w:val="24"/>
              </w:rPr>
              <w:t>Lot</w:t>
            </w:r>
          </w:p>
        </w:tc>
        <w:tc>
          <w:tcPr>
            <w:tcW w:w="991" w:type="dxa"/>
          </w:tcPr>
          <w:p w:rsidR="00622C79" w:rsidRDefault="00E023E3">
            <w:pPr>
              <w:pStyle w:val="TableParagraph"/>
              <w:ind w:left="263" w:right="255"/>
              <w:rPr>
                <w:sz w:val="24"/>
              </w:rPr>
            </w:pPr>
            <w:r>
              <w:rPr>
                <w:sz w:val="24"/>
              </w:rPr>
              <w:t>Lot</w:t>
            </w:r>
          </w:p>
        </w:tc>
        <w:tc>
          <w:tcPr>
            <w:tcW w:w="991" w:type="dxa"/>
          </w:tcPr>
          <w:p w:rsidR="00622C79" w:rsidRDefault="00E023E3">
            <w:pPr>
              <w:pStyle w:val="TableParagraph"/>
              <w:ind w:left="341"/>
              <w:jc w:val="left"/>
              <w:rPr>
                <w:sz w:val="24"/>
              </w:rPr>
            </w:pPr>
            <w:r>
              <w:rPr>
                <w:sz w:val="24"/>
              </w:rPr>
              <w:t>Lot</w:t>
            </w:r>
          </w:p>
        </w:tc>
      </w:tr>
      <w:tr w:rsidR="00622C79">
        <w:trPr>
          <w:trHeight w:val="398"/>
        </w:trPr>
        <w:tc>
          <w:tcPr>
            <w:tcW w:w="1277" w:type="dxa"/>
          </w:tcPr>
          <w:p w:rsidR="00622C79" w:rsidRDefault="00E023E3">
            <w:pPr>
              <w:pStyle w:val="TableParagraph"/>
              <w:ind w:left="12"/>
              <w:rPr>
                <w:sz w:val="24"/>
              </w:rPr>
            </w:pPr>
            <w:r>
              <w:rPr>
                <w:sz w:val="24"/>
              </w:rPr>
              <w:t>C</w:t>
            </w:r>
          </w:p>
        </w:tc>
        <w:tc>
          <w:tcPr>
            <w:tcW w:w="3687" w:type="dxa"/>
          </w:tcPr>
          <w:p w:rsidR="00622C79" w:rsidRDefault="00E023E3">
            <w:pPr>
              <w:pStyle w:val="TableParagraph"/>
              <w:ind w:left="174" w:right="163"/>
              <w:rPr>
                <w:sz w:val="24"/>
              </w:rPr>
            </w:pPr>
            <w:r>
              <w:rPr>
                <w:sz w:val="24"/>
              </w:rPr>
              <w:t>Double promotion / licencié / 500</w:t>
            </w:r>
          </w:p>
        </w:tc>
        <w:tc>
          <w:tcPr>
            <w:tcW w:w="1275" w:type="dxa"/>
          </w:tcPr>
          <w:p w:rsidR="00622C79" w:rsidRDefault="00E023E3">
            <w:pPr>
              <w:pStyle w:val="TableParagraph"/>
              <w:ind w:left="310" w:right="300"/>
              <w:rPr>
                <w:sz w:val="24"/>
              </w:rPr>
            </w:pPr>
            <w:r>
              <w:rPr>
                <w:sz w:val="24"/>
              </w:rPr>
              <w:t>15h00</w:t>
            </w:r>
          </w:p>
        </w:tc>
        <w:tc>
          <w:tcPr>
            <w:tcW w:w="1560" w:type="dxa"/>
          </w:tcPr>
          <w:p w:rsidR="00622C79" w:rsidRDefault="00E023E3">
            <w:pPr>
              <w:pStyle w:val="TableParagraph"/>
              <w:ind w:left="172" w:right="159"/>
              <w:rPr>
                <w:sz w:val="24"/>
              </w:rPr>
            </w:pPr>
            <w:r>
              <w:rPr>
                <w:sz w:val="24"/>
              </w:rPr>
              <w:t>8€/ l’équipe</w:t>
            </w:r>
          </w:p>
        </w:tc>
        <w:tc>
          <w:tcPr>
            <w:tcW w:w="994" w:type="dxa"/>
          </w:tcPr>
          <w:p w:rsidR="00622C79" w:rsidRDefault="00E023E3">
            <w:pPr>
              <w:pStyle w:val="TableParagraph"/>
              <w:ind w:left="265" w:right="256"/>
              <w:rPr>
                <w:sz w:val="24"/>
              </w:rPr>
            </w:pPr>
            <w:r>
              <w:rPr>
                <w:sz w:val="24"/>
              </w:rPr>
              <w:t>Lot</w:t>
            </w:r>
          </w:p>
        </w:tc>
        <w:tc>
          <w:tcPr>
            <w:tcW w:w="991" w:type="dxa"/>
          </w:tcPr>
          <w:p w:rsidR="00622C79" w:rsidRDefault="00E023E3">
            <w:pPr>
              <w:pStyle w:val="TableParagraph"/>
              <w:ind w:left="263" w:right="255"/>
              <w:rPr>
                <w:sz w:val="24"/>
              </w:rPr>
            </w:pPr>
            <w:r>
              <w:rPr>
                <w:sz w:val="24"/>
              </w:rPr>
              <w:t>Lot</w:t>
            </w:r>
          </w:p>
        </w:tc>
        <w:tc>
          <w:tcPr>
            <w:tcW w:w="991" w:type="dxa"/>
          </w:tcPr>
          <w:p w:rsidR="00622C79" w:rsidRDefault="00E023E3">
            <w:pPr>
              <w:pStyle w:val="TableParagraph"/>
              <w:ind w:left="341"/>
              <w:jc w:val="left"/>
              <w:rPr>
                <w:sz w:val="24"/>
              </w:rPr>
            </w:pPr>
            <w:r>
              <w:rPr>
                <w:sz w:val="24"/>
              </w:rPr>
              <w:t>Lot</w:t>
            </w:r>
          </w:p>
        </w:tc>
      </w:tr>
      <w:tr w:rsidR="00622C79">
        <w:trPr>
          <w:trHeight w:val="397"/>
        </w:trPr>
        <w:tc>
          <w:tcPr>
            <w:tcW w:w="1277" w:type="dxa"/>
          </w:tcPr>
          <w:p w:rsidR="00622C79" w:rsidRDefault="00E023E3">
            <w:pPr>
              <w:pStyle w:val="TableParagraph"/>
              <w:ind w:left="13"/>
              <w:rPr>
                <w:sz w:val="24"/>
              </w:rPr>
            </w:pPr>
            <w:r>
              <w:rPr>
                <w:sz w:val="24"/>
              </w:rPr>
              <w:t>D</w:t>
            </w:r>
          </w:p>
        </w:tc>
        <w:tc>
          <w:tcPr>
            <w:tcW w:w="3687" w:type="dxa"/>
          </w:tcPr>
          <w:p w:rsidR="00622C79" w:rsidRDefault="00E023E3">
            <w:pPr>
              <w:pStyle w:val="TableParagraph"/>
              <w:ind w:left="171" w:right="163"/>
              <w:rPr>
                <w:sz w:val="24"/>
              </w:rPr>
            </w:pPr>
            <w:r>
              <w:rPr>
                <w:sz w:val="24"/>
              </w:rPr>
              <w:t>Classé 500 à 599</w:t>
            </w:r>
          </w:p>
        </w:tc>
        <w:tc>
          <w:tcPr>
            <w:tcW w:w="1275" w:type="dxa"/>
          </w:tcPr>
          <w:p w:rsidR="00622C79" w:rsidRDefault="00E023E3">
            <w:pPr>
              <w:pStyle w:val="TableParagraph"/>
              <w:ind w:left="311" w:right="300"/>
              <w:rPr>
                <w:sz w:val="24"/>
              </w:rPr>
            </w:pPr>
            <w:r>
              <w:rPr>
                <w:sz w:val="24"/>
              </w:rPr>
              <w:t>13h30</w:t>
            </w:r>
          </w:p>
        </w:tc>
        <w:tc>
          <w:tcPr>
            <w:tcW w:w="1560" w:type="dxa"/>
          </w:tcPr>
          <w:p w:rsidR="00622C79" w:rsidRDefault="00AD650C">
            <w:pPr>
              <w:pStyle w:val="TableParagraph"/>
              <w:ind w:left="172" w:right="156"/>
              <w:rPr>
                <w:sz w:val="24"/>
              </w:rPr>
            </w:pPr>
            <w:r>
              <w:rPr>
                <w:sz w:val="24"/>
              </w:rPr>
              <w:t>6</w:t>
            </w:r>
            <w:r w:rsidR="00E023E3">
              <w:rPr>
                <w:sz w:val="24"/>
              </w:rPr>
              <w:t>€/joueur</w:t>
            </w:r>
          </w:p>
        </w:tc>
        <w:tc>
          <w:tcPr>
            <w:tcW w:w="994" w:type="dxa"/>
          </w:tcPr>
          <w:p w:rsidR="00622C79" w:rsidRDefault="00E023E3">
            <w:pPr>
              <w:pStyle w:val="TableParagraph"/>
              <w:ind w:left="265" w:right="258"/>
              <w:rPr>
                <w:sz w:val="24"/>
              </w:rPr>
            </w:pPr>
            <w:r>
              <w:rPr>
                <w:sz w:val="24"/>
              </w:rPr>
              <w:t>20 €</w:t>
            </w:r>
          </w:p>
        </w:tc>
        <w:tc>
          <w:tcPr>
            <w:tcW w:w="991" w:type="dxa"/>
          </w:tcPr>
          <w:p w:rsidR="00622C79" w:rsidRDefault="00E023E3">
            <w:pPr>
              <w:pStyle w:val="TableParagraph"/>
              <w:ind w:left="266" w:right="255"/>
              <w:rPr>
                <w:sz w:val="24"/>
              </w:rPr>
            </w:pPr>
            <w:r>
              <w:rPr>
                <w:sz w:val="24"/>
              </w:rPr>
              <w:t>10 €</w:t>
            </w:r>
          </w:p>
        </w:tc>
        <w:tc>
          <w:tcPr>
            <w:tcW w:w="991" w:type="dxa"/>
          </w:tcPr>
          <w:p w:rsidR="00622C79" w:rsidRDefault="00E023E3">
            <w:pPr>
              <w:pStyle w:val="TableParagraph"/>
              <w:ind w:left="341"/>
              <w:jc w:val="left"/>
              <w:rPr>
                <w:sz w:val="24"/>
              </w:rPr>
            </w:pPr>
            <w:r>
              <w:rPr>
                <w:sz w:val="24"/>
              </w:rPr>
              <w:t>Lot</w:t>
            </w:r>
          </w:p>
        </w:tc>
      </w:tr>
      <w:tr w:rsidR="00622C79">
        <w:trPr>
          <w:trHeight w:val="395"/>
        </w:trPr>
        <w:tc>
          <w:tcPr>
            <w:tcW w:w="1277" w:type="dxa"/>
          </w:tcPr>
          <w:p w:rsidR="00622C79" w:rsidRDefault="00E023E3">
            <w:pPr>
              <w:pStyle w:val="TableParagraph"/>
              <w:spacing w:before="49"/>
              <w:ind w:left="11"/>
              <w:rPr>
                <w:sz w:val="24"/>
              </w:rPr>
            </w:pPr>
            <w:r>
              <w:rPr>
                <w:sz w:val="24"/>
              </w:rPr>
              <w:t>E</w:t>
            </w:r>
          </w:p>
        </w:tc>
        <w:tc>
          <w:tcPr>
            <w:tcW w:w="3687" w:type="dxa"/>
          </w:tcPr>
          <w:p w:rsidR="00622C79" w:rsidRDefault="00E023E3">
            <w:pPr>
              <w:pStyle w:val="TableParagraph"/>
              <w:spacing w:before="49"/>
              <w:ind w:left="173" w:right="163"/>
              <w:rPr>
                <w:sz w:val="24"/>
              </w:rPr>
            </w:pPr>
            <w:r>
              <w:rPr>
                <w:sz w:val="24"/>
              </w:rPr>
              <w:t>Jeunes (-16 ans et – 800 points)</w:t>
            </w:r>
          </w:p>
        </w:tc>
        <w:tc>
          <w:tcPr>
            <w:tcW w:w="1275" w:type="dxa"/>
          </w:tcPr>
          <w:p w:rsidR="00622C79" w:rsidRDefault="00E023E3">
            <w:pPr>
              <w:pStyle w:val="TableParagraph"/>
              <w:spacing w:before="49"/>
              <w:ind w:left="311" w:right="300"/>
              <w:rPr>
                <w:sz w:val="24"/>
              </w:rPr>
            </w:pPr>
            <w:r>
              <w:rPr>
                <w:sz w:val="24"/>
              </w:rPr>
              <w:t>13h30</w:t>
            </w:r>
          </w:p>
        </w:tc>
        <w:tc>
          <w:tcPr>
            <w:tcW w:w="1560" w:type="dxa"/>
          </w:tcPr>
          <w:p w:rsidR="00622C79" w:rsidRDefault="00AD650C">
            <w:pPr>
              <w:pStyle w:val="TableParagraph"/>
              <w:spacing w:before="49"/>
              <w:ind w:left="172" w:right="156"/>
              <w:rPr>
                <w:sz w:val="24"/>
              </w:rPr>
            </w:pPr>
            <w:r>
              <w:rPr>
                <w:sz w:val="24"/>
              </w:rPr>
              <w:t>6</w:t>
            </w:r>
            <w:r w:rsidR="00E023E3">
              <w:rPr>
                <w:sz w:val="24"/>
              </w:rPr>
              <w:t>€/joueur</w:t>
            </w:r>
          </w:p>
        </w:tc>
        <w:tc>
          <w:tcPr>
            <w:tcW w:w="994" w:type="dxa"/>
          </w:tcPr>
          <w:p w:rsidR="00622C79" w:rsidRDefault="00E023E3">
            <w:pPr>
              <w:pStyle w:val="TableParagraph"/>
              <w:spacing w:before="49"/>
              <w:ind w:left="265" w:right="258"/>
              <w:rPr>
                <w:sz w:val="24"/>
              </w:rPr>
            </w:pPr>
            <w:r>
              <w:rPr>
                <w:sz w:val="24"/>
              </w:rPr>
              <w:t>20 €</w:t>
            </w:r>
          </w:p>
        </w:tc>
        <w:tc>
          <w:tcPr>
            <w:tcW w:w="991" w:type="dxa"/>
          </w:tcPr>
          <w:p w:rsidR="00622C79" w:rsidRDefault="00E023E3">
            <w:pPr>
              <w:pStyle w:val="TableParagraph"/>
              <w:spacing w:before="49"/>
              <w:ind w:left="266" w:right="255"/>
              <w:rPr>
                <w:sz w:val="24"/>
              </w:rPr>
            </w:pPr>
            <w:r>
              <w:rPr>
                <w:sz w:val="24"/>
              </w:rPr>
              <w:t>10 €</w:t>
            </w:r>
          </w:p>
        </w:tc>
        <w:tc>
          <w:tcPr>
            <w:tcW w:w="991" w:type="dxa"/>
          </w:tcPr>
          <w:p w:rsidR="00622C79" w:rsidRDefault="00E023E3">
            <w:pPr>
              <w:pStyle w:val="TableParagraph"/>
              <w:spacing w:before="49"/>
              <w:ind w:left="341"/>
              <w:jc w:val="left"/>
              <w:rPr>
                <w:sz w:val="24"/>
              </w:rPr>
            </w:pPr>
            <w:r>
              <w:rPr>
                <w:sz w:val="24"/>
              </w:rPr>
              <w:t>Lot</w:t>
            </w:r>
          </w:p>
        </w:tc>
      </w:tr>
    </w:tbl>
    <w:p w:rsidR="00622C79" w:rsidRDefault="00622C79">
      <w:pPr>
        <w:pStyle w:val="Corpsdetexte"/>
        <w:spacing w:before="11"/>
        <w:ind w:left="0"/>
        <w:rPr>
          <w:sz w:val="21"/>
        </w:rPr>
      </w:pPr>
    </w:p>
    <w:p w:rsidR="00622C79" w:rsidRDefault="00E023E3">
      <w:pPr>
        <w:pStyle w:val="Corpsdetexte"/>
        <w:spacing w:before="1"/>
      </w:pPr>
      <w:r>
        <w:t xml:space="preserve">Dimanche </w:t>
      </w:r>
      <w:r w:rsidR="002D0C8B">
        <w:t>31 octobre</w:t>
      </w:r>
      <w:r>
        <w:t xml:space="preserve"> :</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744"/>
        <w:gridCol w:w="1255"/>
        <w:gridCol w:w="1540"/>
        <w:gridCol w:w="962"/>
        <w:gridCol w:w="964"/>
        <w:gridCol w:w="964"/>
      </w:tblGrid>
      <w:tr w:rsidR="00622C79">
        <w:trPr>
          <w:trHeight w:val="390"/>
        </w:trPr>
        <w:tc>
          <w:tcPr>
            <w:tcW w:w="1277" w:type="dxa"/>
            <w:vMerge w:val="restart"/>
            <w:shd w:val="clear" w:color="auto" w:fill="FFC000"/>
          </w:tcPr>
          <w:p w:rsidR="00622C79" w:rsidRDefault="00E023E3">
            <w:pPr>
              <w:pStyle w:val="TableParagraph"/>
              <w:spacing w:before="151"/>
              <w:ind w:left="110"/>
              <w:jc w:val="left"/>
              <w:rPr>
                <w:b/>
                <w:sz w:val="32"/>
              </w:rPr>
            </w:pPr>
            <w:r>
              <w:rPr>
                <w:b/>
                <w:sz w:val="32"/>
              </w:rPr>
              <w:t>Tableau</w:t>
            </w:r>
          </w:p>
        </w:tc>
        <w:tc>
          <w:tcPr>
            <w:tcW w:w="3744" w:type="dxa"/>
            <w:vMerge w:val="restart"/>
            <w:shd w:val="clear" w:color="auto" w:fill="FFC000"/>
          </w:tcPr>
          <w:p w:rsidR="00622C79" w:rsidRDefault="00E023E3">
            <w:pPr>
              <w:pStyle w:val="TableParagraph"/>
              <w:spacing w:before="151"/>
              <w:ind w:left="1233"/>
              <w:jc w:val="left"/>
              <w:rPr>
                <w:b/>
                <w:sz w:val="32"/>
              </w:rPr>
            </w:pPr>
            <w:r>
              <w:rPr>
                <w:b/>
                <w:sz w:val="32"/>
              </w:rPr>
              <w:t>Catégorie</w:t>
            </w:r>
          </w:p>
        </w:tc>
        <w:tc>
          <w:tcPr>
            <w:tcW w:w="1255" w:type="dxa"/>
            <w:vMerge w:val="restart"/>
            <w:shd w:val="clear" w:color="auto" w:fill="FFC000"/>
          </w:tcPr>
          <w:p w:rsidR="00622C79" w:rsidRDefault="00E023E3">
            <w:pPr>
              <w:pStyle w:val="TableParagraph"/>
              <w:spacing w:before="151"/>
              <w:ind w:left="130"/>
              <w:jc w:val="left"/>
              <w:rPr>
                <w:b/>
                <w:sz w:val="32"/>
              </w:rPr>
            </w:pPr>
            <w:r>
              <w:rPr>
                <w:b/>
                <w:sz w:val="32"/>
              </w:rPr>
              <w:t>Horaire</w:t>
            </w:r>
          </w:p>
        </w:tc>
        <w:tc>
          <w:tcPr>
            <w:tcW w:w="1540" w:type="dxa"/>
            <w:vMerge w:val="restart"/>
            <w:shd w:val="clear" w:color="auto" w:fill="FFC000"/>
          </w:tcPr>
          <w:p w:rsidR="00622C79" w:rsidRDefault="00E023E3">
            <w:pPr>
              <w:pStyle w:val="TableParagraph"/>
              <w:spacing w:before="151"/>
              <w:ind w:left="517"/>
              <w:jc w:val="left"/>
              <w:rPr>
                <w:b/>
                <w:sz w:val="32"/>
              </w:rPr>
            </w:pPr>
            <w:r>
              <w:rPr>
                <w:b/>
                <w:sz w:val="32"/>
              </w:rPr>
              <w:t>Prix</w:t>
            </w:r>
          </w:p>
        </w:tc>
        <w:tc>
          <w:tcPr>
            <w:tcW w:w="2890" w:type="dxa"/>
            <w:gridSpan w:val="3"/>
            <w:shd w:val="clear" w:color="auto" w:fill="FFC000"/>
          </w:tcPr>
          <w:p w:rsidR="00622C79" w:rsidRDefault="00E023E3">
            <w:pPr>
              <w:pStyle w:val="TableParagraph"/>
              <w:spacing w:before="0" w:line="371" w:lineRule="exact"/>
              <w:ind w:left="859"/>
              <w:jc w:val="left"/>
              <w:rPr>
                <w:b/>
                <w:sz w:val="32"/>
              </w:rPr>
            </w:pPr>
            <w:r>
              <w:rPr>
                <w:b/>
                <w:sz w:val="32"/>
              </w:rPr>
              <w:t>Dotation</w:t>
            </w:r>
          </w:p>
        </w:tc>
      </w:tr>
      <w:tr w:rsidR="00622C79">
        <w:trPr>
          <w:trHeight w:val="292"/>
        </w:trPr>
        <w:tc>
          <w:tcPr>
            <w:tcW w:w="1277" w:type="dxa"/>
            <w:vMerge/>
            <w:tcBorders>
              <w:top w:val="nil"/>
            </w:tcBorders>
            <w:shd w:val="clear" w:color="auto" w:fill="FFC000"/>
          </w:tcPr>
          <w:p w:rsidR="00622C79" w:rsidRDefault="00622C79">
            <w:pPr>
              <w:rPr>
                <w:sz w:val="2"/>
                <w:szCs w:val="2"/>
              </w:rPr>
            </w:pPr>
          </w:p>
        </w:tc>
        <w:tc>
          <w:tcPr>
            <w:tcW w:w="3744" w:type="dxa"/>
            <w:vMerge/>
            <w:tcBorders>
              <w:top w:val="nil"/>
            </w:tcBorders>
            <w:shd w:val="clear" w:color="auto" w:fill="FFC000"/>
          </w:tcPr>
          <w:p w:rsidR="00622C79" w:rsidRDefault="00622C79">
            <w:pPr>
              <w:rPr>
                <w:sz w:val="2"/>
                <w:szCs w:val="2"/>
              </w:rPr>
            </w:pPr>
          </w:p>
        </w:tc>
        <w:tc>
          <w:tcPr>
            <w:tcW w:w="1255" w:type="dxa"/>
            <w:vMerge/>
            <w:tcBorders>
              <w:top w:val="nil"/>
            </w:tcBorders>
            <w:shd w:val="clear" w:color="auto" w:fill="FFC000"/>
          </w:tcPr>
          <w:p w:rsidR="00622C79" w:rsidRDefault="00622C79">
            <w:pPr>
              <w:rPr>
                <w:sz w:val="2"/>
                <w:szCs w:val="2"/>
              </w:rPr>
            </w:pPr>
          </w:p>
        </w:tc>
        <w:tc>
          <w:tcPr>
            <w:tcW w:w="1540" w:type="dxa"/>
            <w:vMerge/>
            <w:tcBorders>
              <w:top w:val="nil"/>
            </w:tcBorders>
            <w:shd w:val="clear" w:color="auto" w:fill="FFC000"/>
          </w:tcPr>
          <w:p w:rsidR="00622C79" w:rsidRDefault="00622C79">
            <w:pPr>
              <w:rPr>
                <w:sz w:val="2"/>
                <w:szCs w:val="2"/>
              </w:rPr>
            </w:pPr>
          </w:p>
        </w:tc>
        <w:tc>
          <w:tcPr>
            <w:tcW w:w="962" w:type="dxa"/>
            <w:shd w:val="clear" w:color="auto" w:fill="FFC000"/>
          </w:tcPr>
          <w:p w:rsidR="00622C79" w:rsidRDefault="00E023E3">
            <w:pPr>
              <w:pStyle w:val="TableParagraph"/>
              <w:spacing w:before="23" w:line="122" w:lineRule="auto"/>
              <w:ind w:left="252" w:right="238"/>
              <w:rPr>
                <w:b/>
                <w:sz w:val="16"/>
              </w:rPr>
            </w:pPr>
            <w:r>
              <w:rPr>
                <w:b/>
                <w:position w:val="-10"/>
                <w:sz w:val="24"/>
              </w:rPr>
              <w:t>1</w:t>
            </w:r>
            <w:r>
              <w:rPr>
                <w:b/>
                <w:sz w:val="16"/>
              </w:rPr>
              <w:t>er</w:t>
            </w:r>
          </w:p>
        </w:tc>
        <w:tc>
          <w:tcPr>
            <w:tcW w:w="964" w:type="dxa"/>
            <w:shd w:val="clear" w:color="auto" w:fill="FFC000"/>
          </w:tcPr>
          <w:p w:rsidR="00622C79" w:rsidRDefault="00E023E3">
            <w:pPr>
              <w:pStyle w:val="TableParagraph"/>
              <w:spacing w:before="23" w:line="122" w:lineRule="auto"/>
              <w:ind w:right="237"/>
              <w:rPr>
                <w:b/>
                <w:sz w:val="16"/>
              </w:rPr>
            </w:pPr>
            <w:r>
              <w:rPr>
                <w:b/>
                <w:position w:val="-10"/>
                <w:sz w:val="24"/>
              </w:rPr>
              <w:t>2</w:t>
            </w:r>
            <w:proofErr w:type="spellStart"/>
            <w:r>
              <w:rPr>
                <w:b/>
                <w:sz w:val="16"/>
              </w:rPr>
              <w:t>ème</w:t>
            </w:r>
            <w:proofErr w:type="spellEnd"/>
          </w:p>
        </w:tc>
        <w:tc>
          <w:tcPr>
            <w:tcW w:w="964" w:type="dxa"/>
            <w:shd w:val="clear" w:color="auto" w:fill="FFC000"/>
          </w:tcPr>
          <w:p w:rsidR="00622C79" w:rsidRDefault="00E023E3">
            <w:pPr>
              <w:pStyle w:val="TableParagraph"/>
              <w:spacing w:before="23" w:line="122" w:lineRule="auto"/>
              <w:ind w:left="252" w:right="237"/>
              <w:rPr>
                <w:b/>
                <w:sz w:val="16"/>
              </w:rPr>
            </w:pPr>
            <w:r>
              <w:rPr>
                <w:b/>
                <w:position w:val="-10"/>
                <w:sz w:val="24"/>
              </w:rPr>
              <w:t>3</w:t>
            </w:r>
            <w:proofErr w:type="spellStart"/>
            <w:r>
              <w:rPr>
                <w:b/>
                <w:sz w:val="16"/>
              </w:rPr>
              <w:t>ème</w:t>
            </w:r>
            <w:proofErr w:type="spellEnd"/>
          </w:p>
        </w:tc>
      </w:tr>
      <w:tr w:rsidR="00622C79">
        <w:trPr>
          <w:trHeight w:val="397"/>
        </w:trPr>
        <w:tc>
          <w:tcPr>
            <w:tcW w:w="1277" w:type="dxa"/>
          </w:tcPr>
          <w:p w:rsidR="00622C79" w:rsidRDefault="00E023E3">
            <w:pPr>
              <w:pStyle w:val="TableParagraph"/>
              <w:ind w:left="14"/>
              <w:rPr>
                <w:sz w:val="24"/>
              </w:rPr>
            </w:pPr>
            <w:r>
              <w:rPr>
                <w:sz w:val="24"/>
              </w:rPr>
              <w:t>F</w:t>
            </w:r>
          </w:p>
        </w:tc>
        <w:tc>
          <w:tcPr>
            <w:tcW w:w="3744" w:type="dxa"/>
          </w:tcPr>
          <w:p w:rsidR="00622C79" w:rsidRDefault="00E023E3">
            <w:pPr>
              <w:pStyle w:val="TableParagraph"/>
              <w:ind w:left="162" w:right="152"/>
              <w:rPr>
                <w:sz w:val="24"/>
              </w:rPr>
            </w:pPr>
            <w:r>
              <w:rPr>
                <w:sz w:val="24"/>
              </w:rPr>
              <w:t>Classé 500 à 699 (&lt; 700 points)</w:t>
            </w:r>
          </w:p>
        </w:tc>
        <w:tc>
          <w:tcPr>
            <w:tcW w:w="1255" w:type="dxa"/>
          </w:tcPr>
          <w:p w:rsidR="00622C79" w:rsidRDefault="00E023E3">
            <w:pPr>
              <w:pStyle w:val="TableParagraph"/>
              <w:ind w:left="301" w:right="289"/>
              <w:rPr>
                <w:sz w:val="24"/>
              </w:rPr>
            </w:pPr>
            <w:r>
              <w:rPr>
                <w:sz w:val="24"/>
              </w:rPr>
              <w:t>10h00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E023E3">
            <w:pPr>
              <w:pStyle w:val="TableParagraph"/>
              <w:ind w:left="253" w:right="238"/>
              <w:rPr>
                <w:sz w:val="24"/>
              </w:rPr>
            </w:pPr>
            <w:r>
              <w:rPr>
                <w:sz w:val="24"/>
              </w:rPr>
              <w:t>35 €</w:t>
            </w:r>
          </w:p>
        </w:tc>
        <w:tc>
          <w:tcPr>
            <w:tcW w:w="964" w:type="dxa"/>
          </w:tcPr>
          <w:p w:rsidR="00622C79" w:rsidRDefault="00E023E3">
            <w:pPr>
              <w:pStyle w:val="TableParagraph"/>
              <w:ind w:left="257" w:right="237"/>
              <w:rPr>
                <w:sz w:val="24"/>
              </w:rPr>
            </w:pPr>
            <w:r>
              <w:rPr>
                <w:sz w:val="24"/>
              </w:rPr>
              <w:t>20 €</w:t>
            </w:r>
          </w:p>
        </w:tc>
        <w:tc>
          <w:tcPr>
            <w:tcW w:w="964" w:type="dxa"/>
          </w:tcPr>
          <w:p w:rsidR="00622C79" w:rsidRDefault="00E023E3">
            <w:pPr>
              <w:pStyle w:val="TableParagraph"/>
              <w:ind w:right="237"/>
              <w:rPr>
                <w:sz w:val="24"/>
              </w:rPr>
            </w:pPr>
            <w:r>
              <w:rPr>
                <w:sz w:val="24"/>
              </w:rPr>
              <w:t>Lot</w:t>
            </w:r>
          </w:p>
        </w:tc>
      </w:tr>
      <w:tr w:rsidR="00622C79">
        <w:trPr>
          <w:trHeight w:val="398"/>
        </w:trPr>
        <w:tc>
          <w:tcPr>
            <w:tcW w:w="1277" w:type="dxa"/>
          </w:tcPr>
          <w:p w:rsidR="00622C79" w:rsidRDefault="00E023E3">
            <w:pPr>
              <w:pStyle w:val="TableParagraph"/>
              <w:ind w:left="12"/>
              <w:rPr>
                <w:sz w:val="24"/>
              </w:rPr>
            </w:pPr>
            <w:r>
              <w:rPr>
                <w:sz w:val="24"/>
              </w:rPr>
              <w:t>G</w:t>
            </w:r>
          </w:p>
        </w:tc>
        <w:tc>
          <w:tcPr>
            <w:tcW w:w="3744" w:type="dxa"/>
          </w:tcPr>
          <w:p w:rsidR="00622C79" w:rsidRDefault="00E023E3">
            <w:pPr>
              <w:pStyle w:val="TableParagraph"/>
              <w:ind w:left="162" w:right="151"/>
              <w:rPr>
                <w:sz w:val="24"/>
              </w:rPr>
            </w:pPr>
            <w:r>
              <w:rPr>
                <w:sz w:val="24"/>
              </w:rPr>
              <w:t>Classé 500 à 899 (&lt; 900 points)</w:t>
            </w:r>
          </w:p>
        </w:tc>
        <w:tc>
          <w:tcPr>
            <w:tcW w:w="1255" w:type="dxa"/>
          </w:tcPr>
          <w:p w:rsidR="00622C79" w:rsidRDefault="00E023E3">
            <w:pPr>
              <w:pStyle w:val="TableParagraph"/>
              <w:ind w:left="301" w:right="289"/>
              <w:rPr>
                <w:sz w:val="24"/>
              </w:rPr>
            </w:pPr>
            <w:r>
              <w:rPr>
                <w:sz w:val="24"/>
              </w:rPr>
              <w:t>8h30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E023E3">
            <w:pPr>
              <w:pStyle w:val="TableParagraph"/>
              <w:ind w:left="253" w:right="238"/>
              <w:rPr>
                <w:sz w:val="24"/>
              </w:rPr>
            </w:pPr>
            <w:r>
              <w:rPr>
                <w:sz w:val="24"/>
              </w:rPr>
              <w:t>40 €</w:t>
            </w:r>
          </w:p>
        </w:tc>
        <w:tc>
          <w:tcPr>
            <w:tcW w:w="964" w:type="dxa"/>
          </w:tcPr>
          <w:p w:rsidR="00622C79" w:rsidRDefault="00E023E3">
            <w:pPr>
              <w:pStyle w:val="TableParagraph"/>
              <w:ind w:left="257" w:right="237"/>
              <w:rPr>
                <w:sz w:val="24"/>
              </w:rPr>
            </w:pPr>
            <w:r>
              <w:rPr>
                <w:sz w:val="24"/>
              </w:rPr>
              <w:t>20 €</w:t>
            </w:r>
          </w:p>
        </w:tc>
        <w:tc>
          <w:tcPr>
            <w:tcW w:w="964" w:type="dxa"/>
          </w:tcPr>
          <w:p w:rsidR="00622C79" w:rsidRDefault="00E023E3">
            <w:pPr>
              <w:pStyle w:val="TableParagraph"/>
              <w:ind w:right="237"/>
              <w:rPr>
                <w:sz w:val="24"/>
              </w:rPr>
            </w:pPr>
            <w:r>
              <w:rPr>
                <w:sz w:val="24"/>
              </w:rPr>
              <w:t>Lot</w:t>
            </w:r>
          </w:p>
        </w:tc>
      </w:tr>
      <w:tr w:rsidR="00622C79">
        <w:trPr>
          <w:trHeight w:val="396"/>
        </w:trPr>
        <w:tc>
          <w:tcPr>
            <w:tcW w:w="1277" w:type="dxa"/>
          </w:tcPr>
          <w:p w:rsidR="00622C79" w:rsidRDefault="00E023E3">
            <w:pPr>
              <w:pStyle w:val="TableParagraph"/>
              <w:spacing w:before="50"/>
              <w:ind w:left="14"/>
              <w:rPr>
                <w:sz w:val="24"/>
              </w:rPr>
            </w:pPr>
            <w:r>
              <w:rPr>
                <w:sz w:val="24"/>
              </w:rPr>
              <w:t>H</w:t>
            </w:r>
          </w:p>
        </w:tc>
        <w:tc>
          <w:tcPr>
            <w:tcW w:w="3744" w:type="dxa"/>
          </w:tcPr>
          <w:p w:rsidR="00622C79" w:rsidRDefault="00E023E3">
            <w:pPr>
              <w:pStyle w:val="TableParagraph"/>
              <w:spacing w:before="50"/>
              <w:ind w:left="162" w:right="147"/>
              <w:rPr>
                <w:sz w:val="24"/>
              </w:rPr>
            </w:pPr>
            <w:r>
              <w:rPr>
                <w:sz w:val="24"/>
              </w:rPr>
              <w:t>Classé 700 à 1099 (&lt; 1100 points)</w:t>
            </w:r>
          </w:p>
        </w:tc>
        <w:tc>
          <w:tcPr>
            <w:tcW w:w="1255" w:type="dxa"/>
          </w:tcPr>
          <w:p w:rsidR="00622C79" w:rsidRDefault="00E023E3">
            <w:pPr>
              <w:pStyle w:val="TableParagraph"/>
              <w:spacing w:before="50"/>
              <w:ind w:left="301" w:right="289"/>
              <w:rPr>
                <w:sz w:val="24"/>
              </w:rPr>
            </w:pPr>
            <w:r>
              <w:rPr>
                <w:sz w:val="24"/>
              </w:rPr>
              <w:t>10h00</w:t>
            </w:r>
          </w:p>
        </w:tc>
        <w:tc>
          <w:tcPr>
            <w:tcW w:w="1540" w:type="dxa"/>
          </w:tcPr>
          <w:p w:rsidR="00622C79" w:rsidRDefault="00E023E3">
            <w:pPr>
              <w:pStyle w:val="TableParagraph"/>
              <w:spacing w:before="50"/>
              <w:ind w:left="284"/>
              <w:jc w:val="left"/>
              <w:rPr>
                <w:sz w:val="24"/>
              </w:rPr>
            </w:pPr>
            <w:r>
              <w:rPr>
                <w:sz w:val="24"/>
              </w:rPr>
              <w:t>6€/joueur</w:t>
            </w:r>
          </w:p>
        </w:tc>
        <w:tc>
          <w:tcPr>
            <w:tcW w:w="962" w:type="dxa"/>
          </w:tcPr>
          <w:p w:rsidR="00622C79" w:rsidRDefault="00E023E3">
            <w:pPr>
              <w:pStyle w:val="TableParagraph"/>
              <w:spacing w:before="50"/>
              <w:ind w:left="253" w:right="238"/>
              <w:rPr>
                <w:sz w:val="24"/>
              </w:rPr>
            </w:pPr>
            <w:r>
              <w:rPr>
                <w:sz w:val="24"/>
              </w:rPr>
              <w:t>40 €</w:t>
            </w:r>
          </w:p>
        </w:tc>
        <w:tc>
          <w:tcPr>
            <w:tcW w:w="964" w:type="dxa"/>
          </w:tcPr>
          <w:p w:rsidR="00622C79" w:rsidRDefault="00E023E3">
            <w:pPr>
              <w:pStyle w:val="TableParagraph"/>
              <w:spacing w:before="50"/>
              <w:ind w:left="257" w:right="237"/>
              <w:rPr>
                <w:sz w:val="24"/>
              </w:rPr>
            </w:pPr>
            <w:r>
              <w:rPr>
                <w:sz w:val="24"/>
              </w:rPr>
              <w:t>20 €</w:t>
            </w:r>
          </w:p>
        </w:tc>
        <w:tc>
          <w:tcPr>
            <w:tcW w:w="964" w:type="dxa"/>
          </w:tcPr>
          <w:p w:rsidR="00622C79" w:rsidRDefault="00E023E3">
            <w:pPr>
              <w:pStyle w:val="TableParagraph"/>
              <w:spacing w:before="50"/>
              <w:ind w:right="237"/>
              <w:rPr>
                <w:sz w:val="24"/>
              </w:rPr>
            </w:pPr>
            <w:r>
              <w:rPr>
                <w:sz w:val="24"/>
              </w:rPr>
              <w:t>Lot</w:t>
            </w:r>
          </w:p>
        </w:tc>
      </w:tr>
      <w:tr w:rsidR="00622C79">
        <w:trPr>
          <w:trHeight w:val="397"/>
        </w:trPr>
        <w:tc>
          <w:tcPr>
            <w:tcW w:w="1277" w:type="dxa"/>
          </w:tcPr>
          <w:p w:rsidR="00622C79" w:rsidRDefault="00E023E3">
            <w:pPr>
              <w:pStyle w:val="TableParagraph"/>
              <w:ind w:left="12"/>
              <w:rPr>
                <w:sz w:val="24"/>
              </w:rPr>
            </w:pPr>
            <w:r>
              <w:rPr>
                <w:sz w:val="24"/>
              </w:rPr>
              <w:t>I</w:t>
            </w:r>
          </w:p>
        </w:tc>
        <w:tc>
          <w:tcPr>
            <w:tcW w:w="3744" w:type="dxa"/>
          </w:tcPr>
          <w:p w:rsidR="00622C79" w:rsidRDefault="00E023E3">
            <w:pPr>
              <w:pStyle w:val="TableParagraph"/>
              <w:ind w:left="162" w:right="147"/>
              <w:rPr>
                <w:sz w:val="24"/>
              </w:rPr>
            </w:pPr>
            <w:r>
              <w:rPr>
                <w:sz w:val="24"/>
              </w:rPr>
              <w:t>Classé 900 à 1299 (&lt; 1300 points)</w:t>
            </w:r>
          </w:p>
        </w:tc>
        <w:tc>
          <w:tcPr>
            <w:tcW w:w="1255" w:type="dxa"/>
          </w:tcPr>
          <w:p w:rsidR="00622C79" w:rsidRDefault="00E023E3">
            <w:pPr>
              <w:pStyle w:val="TableParagraph"/>
              <w:ind w:left="301" w:right="289"/>
              <w:rPr>
                <w:sz w:val="24"/>
              </w:rPr>
            </w:pPr>
            <w:r>
              <w:rPr>
                <w:sz w:val="24"/>
              </w:rPr>
              <w:t>8h30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E023E3">
            <w:pPr>
              <w:pStyle w:val="TableParagraph"/>
              <w:ind w:left="253" w:right="238"/>
              <w:rPr>
                <w:sz w:val="24"/>
              </w:rPr>
            </w:pPr>
            <w:r>
              <w:rPr>
                <w:sz w:val="24"/>
              </w:rPr>
              <w:t>50 €</w:t>
            </w:r>
          </w:p>
        </w:tc>
        <w:tc>
          <w:tcPr>
            <w:tcW w:w="964" w:type="dxa"/>
          </w:tcPr>
          <w:p w:rsidR="00622C79" w:rsidRDefault="00E023E3">
            <w:pPr>
              <w:pStyle w:val="TableParagraph"/>
              <w:ind w:left="257" w:right="237"/>
              <w:rPr>
                <w:sz w:val="24"/>
              </w:rPr>
            </w:pPr>
            <w:r>
              <w:rPr>
                <w:sz w:val="24"/>
              </w:rPr>
              <w:t>30 €</w:t>
            </w:r>
          </w:p>
        </w:tc>
        <w:tc>
          <w:tcPr>
            <w:tcW w:w="964" w:type="dxa"/>
          </w:tcPr>
          <w:p w:rsidR="00622C79" w:rsidRDefault="00E023E3">
            <w:pPr>
              <w:pStyle w:val="TableParagraph"/>
              <w:ind w:right="237"/>
              <w:rPr>
                <w:sz w:val="24"/>
              </w:rPr>
            </w:pPr>
            <w:r>
              <w:rPr>
                <w:sz w:val="24"/>
              </w:rPr>
              <w:t>Lot</w:t>
            </w:r>
          </w:p>
        </w:tc>
      </w:tr>
      <w:tr w:rsidR="00622C79">
        <w:trPr>
          <w:trHeight w:val="395"/>
        </w:trPr>
        <w:tc>
          <w:tcPr>
            <w:tcW w:w="1277" w:type="dxa"/>
          </w:tcPr>
          <w:p w:rsidR="00622C79" w:rsidRDefault="00E023E3">
            <w:pPr>
              <w:pStyle w:val="TableParagraph"/>
              <w:ind w:left="13"/>
              <w:rPr>
                <w:sz w:val="24"/>
              </w:rPr>
            </w:pPr>
            <w:r>
              <w:rPr>
                <w:sz w:val="24"/>
              </w:rPr>
              <w:t>J</w:t>
            </w:r>
          </w:p>
        </w:tc>
        <w:tc>
          <w:tcPr>
            <w:tcW w:w="3744" w:type="dxa"/>
          </w:tcPr>
          <w:p w:rsidR="00622C79" w:rsidRDefault="00E023E3">
            <w:pPr>
              <w:pStyle w:val="TableParagraph"/>
              <w:ind w:left="162" w:right="151"/>
              <w:rPr>
                <w:sz w:val="24"/>
              </w:rPr>
            </w:pPr>
            <w:r>
              <w:rPr>
                <w:sz w:val="24"/>
              </w:rPr>
              <w:t>Classé 1000 à 1499 (&lt; 1500 points)</w:t>
            </w:r>
          </w:p>
        </w:tc>
        <w:tc>
          <w:tcPr>
            <w:tcW w:w="1255" w:type="dxa"/>
          </w:tcPr>
          <w:p w:rsidR="00622C79" w:rsidRDefault="00E023E3">
            <w:pPr>
              <w:pStyle w:val="TableParagraph"/>
              <w:ind w:left="301" w:right="289"/>
              <w:rPr>
                <w:sz w:val="24"/>
              </w:rPr>
            </w:pPr>
            <w:r>
              <w:rPr>
                <w:sz w:val="24"/>
              </w:rPr>
              <w:t>10h00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E023E3">
            <w:pPr>
              <w:pStyle w:val="TableParagraph"/>
              <w:ind w:left="253" w:right="238"/>
              <w:rPr>
                <w:sz w:val="24"/>
              </w:rPr>
            </w:pPr>
            <w:r>
              <w:rPr>
                <w:sz w:val="24"/>
              </w:rPr>
              <w:t>50 €</w:t>
            </w:r>
          </w:p>
        </w:tc>
        <w:tc>
          <w:tcPr>
            <w:tcW w:w="964" w:type="dxa"/>
          </w:tcPr>
          <w:p w:rsidR="00622C79" w:rsidRDefault="00E023E3">
            <w:pPr>
              <w:pStyle w:val="TableParagraph"/>
              <w:ind w:left="257" w:right="237"/>
              <w:rPr>
                <w:sz w:val="24"/>
              </w:rPr>
            </w:pPr>
            <w:r>
              <w:rPr>
                <w:sz w:val="24"/>
              </w:rPr>
              <w:t>30 €</w:t>
            </w:r>
          </w:p>
        </w:tc>
        <w:tc>
          <w:tcPr>
            <w:tcW w:w="964" w:type="dxa"/>
          </w:tcPr>
          <w:p w:rsidR="00622C79" w:rsidRDefault="00E023E3">
            <w:pPr>
              <w:pStyle w:val="TableParagraph"/>
              <w:ind w:right="237"/>
              <w:rPr>
                <w:sz w:val="24"/>
              </w:rPr>
            </w:pPr>
            <w:r>
              <w:rPr>
                <w:sz w:val="24"/>
              </w:rPr>
              <w:t>Lot</w:t>
            </w:r>
          </w:p>
        </w:tc>
      </w:tr>
      <w:tr w:rsidR="00622C79">
        <w:trPr>
          <w:trHeight w:val="398"/>
        </w:trPr>
        <w:tc>
          <w:tcPr>
            <w:tcW w:w="1277" w:type="dxa"/>
          </w:tcPr>
          <w:p w:rsidR="00622C79" w:rsidRDefault="00E023E3">
            <w:pPr>
              <w:pStyle w:val="TableParagraph"/>
              <w:ind w:left="14"/>
              <w:rPr>
                <w:sz w:val="24"/>
              </w:rPr>
            </w:pPr>
            <w:r>
              <w:rPr>
                <w:sz w:val="24"/>
              </w:rPr>
              <w:t>K</w:t>
            </w:r>
          </w:p>
        </w:tc>
        <w:tc>
          <w:tcPr>
            <w:tcW w:w="3744" w:type="dxa"/>
          </w:tcPr>
          <w:p w:rsidR="00622C79" w:rsidRDefault="00E023E3">
            <w:pPr>
              <w:pStyle w:val="TableParagraph"/>
              <w:ind w:left="162" w:right="152"/>
              <w:rPr>
                <w:sz w:val="24"/>
              </w:rPr>
            </w:pPr>
            <w:r>
              <w:rPr>
                <w:sz w:val="24"/>
              </w:rPr>
              <w:t>Classé 1200 à 1899 (&lt; 1900 points)</w:t>
            </w:r>
          </w:p>
        </w:tc>
        <w:tc>
          <w:tcPr>
            <w:tcW w:w="1255" w:type="dxa"/>
          </w:tcPr>
          <w:p w:rsidR="00622C79" w:rsidRDefault="00E023E3">
            <w:pPr>
              <w:pStyle w:val="TableParagraph"/>
              <w:ind w:left="301" w:right="289"/>
              <w:rPr>
                <w:sz w:val="24"/>
              </w:rPr>
            </w:pPr>
            <w:r>
              <w:rPr>
                <w:sz w:val="24"/>
              </w:rPr>
              <w:t>11h30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D14E90">
            <w:pPr>
              <w:pStyle w:val="TableParagraph"/>
              <w:ind w:left="253" w:right="238"/>
              <w:rPr>
                <w:sz w:val="24"/>
              </w:rPr>
            </w:pPr>
            <w:r>
              <w:rPr>
                <w:sz w:val="24"/>
              </w:rPr>
              <w:t>60</w:t>
            </w:r>
            <w:r w:rsidR="00E023E3">
              <w:rPr>
                <w:sz w:val="24"/>
              </w:rPr>
              <w:t xml:space="preserve"> €</w:t>
            </w:r>
          </w:p>
        </w:tc>
        <w:tc>
          <w:tcPr>
            <w:tcW w:w="964" w:type="dxa"/>
          </w:tcPr>
          <w:p w:rsidR="00622C79" w:rsidRDefault="00E023E3">
            <w:pPr>
              <w:pStyle w:val="TableParagraph"/>
              <w:ind w:left="257" w:right="237"/>
              <w:rPr>
                <w:sz w:val="24"/>
              </w:rPr>
            </w:pPr>
            <w:r>
              <w:rPr>
                <w:sz w:val="24"/>
              </w:rPr>
              <w:t>30 €</w:t>
            </w:r>
          </w:p>
        </w:tc>
        <w:tc>
          <w:tcPr>
            <w:tcW w:w="964" w:type="dxa"/>
          </w:tcPr>
          <w:p w:rsidR="00622C79" w:rsidRDefault="00E023E3">
            <w:pPr>
              <w:pStyle w:val="TableParagraph"/>
              <w:spacing w:before="1"/>
              <w:ind w:right="237"/>
              <w:rPr>
                <w:sz w:val="24"/>
              </w:rPr>
            </w:pPr>
            <w:r>
              <w:rPr>
                <w:sz w:val="24"/>
              </w:rPr>
              <w:t>Lot</w:t>
            </w:r>
          </w:p>
        </w:tc>
      </w:tr>
      <w:tr w:rsidR="00622C79">
        <w:trPr>
          <w:trHeight w:val="397"/>
        </w:trPr>
        <w:tc>
          <w:tcPr>
            <w:tcW w:w="1277" w:type="dxa"/>
          </w:tcPr>
          <w:p w:rsidR="00622C79" w:rsidRDefault="00E023E3">
            <w:pPr>
              <w:pStyle w:val="TableParagraph"/>
              <w:ind w:left="14"/>
              <w:rPr>
                <w:sz w:val="24"/>
              </w:rPr>
            </w:pPr>
            <w:r>
              <w:rPr>
                <w:sz w:val="24"/>
              </w:rPr>
              <w:t>L</w:t>
            </w:r>
          </w:p>
        </w:tc>
        <w:tc>
          <w:tcPr>
            <w:tcW w:w="3744" w:type="dxa"/>
          </w:tcPr>
          <w:p w:rsidR="00622C79" w:rsidRDefault="00E023E3">
            <w:pPr>
              <w:pStyle w:val="TableParagraph"/>
              <w:ind w:left="162" w:right="149"/>
              <w:rPr>
                <w:sz w:val="24"/>
              </w:rPr>
            </w:pPr>
            <w:r>
              <w:rPr>
                <w:sz w:val="24"/>
              </w:rPr>
              <w:t>Toutes catégories</w:t>
            </w:r>
          </w:p>
        </w:tc>
        <w:tc>
          <w:tcPr>
            <w:tcW w:w="1255" w:type="dxa"/>
          </w:tcPr>
          <w:p w:rsidR="00622C79" w:rsidRDefault="00E023E3">
            <w:pPr>
              <w:pStyle w:val="TableParagraph"/>
              <w:ind w:left="302" w:right="289"/>
              <w:rPr>
                <w:sz w:val="24"/>
              </w:rPr>
            </w:pPr>
            <w:r>
              <w:rPr>
                <w:sz w:val="24"/>
              </w:rPr>
              <w:t>13h30</w:t>
            </w:r>
          </w:p>
        </w:tc>
        <w:tc>
          <w:tcPr>
            <w:tcW w:w="1540" w:type="dxa"/>
          </w:tcPr>
          <w:p w:rsidR="00622C79" w:rsidRDefault="00E023E3">
            <w:pPr>
              <w:pStyle w:val="TableParagraph"/>
              <w:ind w:left="284"/>
              <w:jc w:val="left"/>
              <w:rPr>
                <w:sz w:val="24"/>
              </w:rPr>
            </w:pPr>
            <w:r>
              <w:rPr>
                <w:sz w:val="24"/>
              </w:rPr>
              <w:t>6€/joueur</w:t>
            </w:r>
          </w:p>
        </w:tc>
        <w:tc>
          <w:tcPr>
            <w:tcW w:w="962" w:type="dxa"/>
          </w:tcPr>
          <w:p w:rsidR="00622C79" w:rsidRDefault="00D14E90" w:rsidP="00D14E90">
            <w:pPr>
              <w:pStyle w:val="TableParagraph"/>
              <w:ind w:left="0" w:right="238"/>
              <w:jc w:val="left"/>
              <w:rPr>
                <w:sz w:val="24"/>
              </w:rPr>
            </w:pPr>
            <w:r>
              <w:rPr>
                <w:sz w:val="24"/>
              </w:rPr>
              <w:t xml:space="preserve">   100</w:t>
            </w:r>
            <w:r w:rsidR="00E023E3">
              <w:rPr>
                <w:sz w:val="24"/>
              </w:rPr>
              <w:t xml:space="preserve"> €</w:t>
            </w:r>
          </w:p>
        </w:tc>
        <w:tc>
          <w:tcPr>
            <w:tcW w:w="964" w:type="dxa"/>
          </w:tcPr>
          <w:p w:rsidR="00622C79" w:rsidRDefault="00E023E3">
            <w:pPr>
              <w:pStyle w:val="TableParagraph"/>
              <w:ind w:left="257" w:right="237"/>
              <w:rPr>
                <w:sz w:val="24"/>
              </w:rPr>
            </w:pPr>
            <w:r>
              <w:rPr>
                <w:sz w:val="24"/>
              </w:rPr>
              <w:t>30 €</w:t>
            </w:r>
          </w:p>
        </w:tc>
        <w:tc>
          <w:tcPr>
            <w:tcW w:w="964" w:type="dxa"/>
          </w:tcPr>
          <w:p w:rsidR="00622C79" w:rsidRDefault="00E023E3">
            <w:pPr>
              <w:pStyle w:val="TableParagraph"/>
              <w:spacing w:before="0" w:line="292" w:lineRule="exact"/>
              <w:ind w:right="237"/>
              <w:rPr>
                <w:sz w:val="24"/>
              </w:rPr>
            </w:pPr>
            <w:r>
              <w:rPr>
                <w:sz w:val="24"/>
              </w:rPr>
              <w:t>Lot</w:t>
            </w:r>
          </w:p>
        </w:tc>
      </w:tr>
      <w:tr w:rsidR="00622C79">
        <w:trPr>
          <w:trHeight w:val="395"/>
        </w:trPr>
        <w:tc>
          <w:tcPr>
            <w:tcW w:w="1277" w:type="dxa"/>
          </w:tcPr>
          <w:p w:rsidR="00622C79" w:rsidRDefault="00E023E3">
            <w:pPr>
              <w:pStyle w:val="TableParagraph"/>
              <w:spacing w:before="49"/>
              <w:ind w:left="12"/>
              <w:rPr>
                <w:sz w:val="24"/>
              </w:rPr>
            </w:pPr>
            <w:r>
              <w:rPr>
                <w:sz w:val="24"/>
              </w:rPr>
              <w:t>M</w:t>
            </w:r>
          </w:p>
        </w:tc>
        <w:tc>
          <w:tcPr>
            <w:tcW w:w="3744" w:type="dxa"/>
          </w:tcPr>
          <w:p w:rsidR="00622C79" w:rsidRDefault="00E023E3">
            <w:pPr>
              <w:pStyle w:val="TableParagraph"/>
              <w:spacing w:before="49"/>
              <w:ind w:left="162" w:right="152"/>
              <w:rPr>
                <w:sz w:val="24"/>
              </w:rPr>
            </w:pPr>
            <w:r>
              <w:rPr>
                <w:sz w:val="24"/>
              </w:rPr>
              <w:t>Tableau Handicap</w:t>
            </w:r>
          </w:p>
        </w:tc>
        <w:tc>
          <w:tcPr>
            <w:tcW w:w="1255" w:type="dxa"/>
          </w:tcPr>
          <w:p w:rsidR="00622C79" w:rsidRDefault="00E023E3">
            <w:pPr>
              <w:pStyle w:val="TableParagraph"/>
              <w:spacing w:before="49"/>
              <w:ind w:left="301" w:right="289"/>
              <w:rPr>
                <w:sz w:val="24"/>
              </w:rPr>
            </w:pPr>
            <w:r>
              <w:rPr>
                <w:sz w:val="24"/>
              </w:rPr>
              <w:t>15h30</w:t>
            </w:r>
          </w:p>
        </w:tc>
        <w:tc>
          <w:tcPr>
            <w:tcW w:w="1540" w:type="dxa"/>
          </w:tcPr>
          <w:p w:rsidR="00622C79" w:rsidRDefault="00E023E3">
            <w:pPr>
              <w:pStyle w:val="TableParagraph"/>
              <w:spacing w:before="49"/>
              <w:ind w:left="284"/>
              <w:jc w:val="left"/>
              <w:rPr>
                <w:sz w:val="24"/>
              </w:rPr>
            </w:pPr>
            <w:r>
              <w:rPr>
                <w:sz w:val="24"/>
              </w:rPr>
              <w:t>8€/joueur</w:t>
            </w:r>
          </w:p>
        </w:tc>
        <w:tc>
          <w:tcPr>
            <w:tcW w:w="962" w:type="dxa"/>
          </w:tcPr>
          <w:p w:rsidR="00622C79" w:rsidRDefault="00E023E3">
            <w:pPr>
              <w:pStyle w:val="TableParagraph"/>
              <w:spacing w:before="49"/>
              <w:ind w:left="253" w:right="238"/>
              <w:rPr>
                <w:sz w:val="24"/>
              </w:rPr>
            </w:pPr>
            <w:r>
              <w:rPr>
                <w:sz w:val="24"/>
              </w:rPr>
              <w:t>50 €</w:t>
            </w:r>
          </w:p>
        </w:tc>
        <w:tc>
          <w:tcPr>
            <w:tcW w:w="964" w:type="dxa"/>
          </w:tcPr>
          <w:p w:rsidR="00622C79" w:rsidRDefault="00E023E3">
            <w:pPr>
              <w:pStyle w:val="TableParagraph"/>
              <w:spacing w:before="49"/>
              <w:ind w:left="257" w:right="237"/>
              <w:rPr>
                <w:sz w:val="24"/>
              </w:rPr>
            </w:pPr>
            <w:r>
              <w:rPr>
                <w:sz w:val="24"/>
              </w:rPr>
              <w:t>35 €</w:t>
            </w:r>
          </w:p>
        </w:tc>
        <w:tc>
          <w:tcPr>
            <w:tcW w:w="964" w:type="dxa"/>
          </w:tcPr>
          <w:p w:rsidR="00622C79" w:rsidRDefault="00E023E3">
            <w:pPr>
              <w:pStyle w:val="TableParagraph"/>
              <w:spacing w:before="0" w:line="292" w:lineRule="exact"/>
              <w:ind w:right="237"/>
              <w:rPr>
                <w:sz w:val="24"/>
              </w:rPr>
            </w:pPr>
            <w:r>
              <w:rPr>
                <w:sz w:val="24"/>
              </w:rPr>
              <w:t>Lot</w:t>
            </w:r>
          </w:p>
        </w:tc>
      </w:tr>
    </w:tbl>
    <w:p w:rsidR="00622C79" w:rsidRDefault="00E023E3">
      <w:pPr>
        <w:pStyle w:val="Corpsdetexte"/>
      </w:pPr>
      <w:r>
        <w:t>Pointage 30 min, avant l’horaire du tableau</w:t>
      </w:r>
    </w:p>
    <w:p w:rsidR="00622C79" w:rsidRDefault="00622C79">
      <w:pPr>
        <w:sectPr w:rsidR="00622C79">
          <w:type w:val="continuous"/>
          <w:pgSz w:w="11910" w:h="16840"/>
          <w:pgMar w:top="300" w:right="360" w:bottom="280" w:left="200" w:header="720" w:footer="720" w:gutter="0"/>
          <w:cols w:space="720"/>
        </w:sectPr>
      </w:pPr>
    </w:p>
    <w:p w:rsidR="00622C79" w:rsidRDefault="00E023E3">
      <w:pPr>
        <w:pStyle w:val="Corpsdetexte"/>
        <w:spacing w:before="71" w:line="276" w:lineRule="auto"/>
        <w:ind w:right="486"/>
        <w:jc w:val="both"/>
      </w:pPr>
      <w:r>
        <w:rPr>
          <w:rFonts w:ascii="Cambria" w:hAnsi="Cambria"/>
          <w:b/>
          <w:color w:val="4F81BC"/>
          <w:sz w:val="26"/>
        </w:rPr>
        <w:lastRenderedPageBreak/>
        <w:t xml:space="preserve">Article 4 : </w:t>
      </w:r>
      <w:r>
        <w:t>Les joueurs devront être en possession de leur licence (20</w:t>
      </w:r>
      <w:r w:rsidR="00CB6EB6">
        <w:t>2</w:t>
      </w:r>
      <w:r w:rsidR="002D0C8B">
        <w:t>1</w:t>
      </w:r>
      <w:r>
        <w:t>-202</w:t>
      </w:r>
      <w:r w:rsidR="002D0C8B">
        <w:t>2</w:t>
      </w:r>
      <w:r>
        <w:t>). Chaque joueur licencié aura la possibilité de participer à 3 tableaux individuels, dont le tableau correspondant à son classement. Attention, un joueur ne peut s’inscrire à deux tableaux commençant à la même heure.</w:t>
      </w:r>
    </w:p>
    <w:p w:rsidR="00622C79" w:rsidRDefault="00E023E3">
      <w:pPr>
        <w:pStyle w:val="Corpsdetexte"/>
        <w:spacing w:before="201"/>
      </w:pPr>
      <w:r>
        <w:t>Chaque joueur pourra en plus de ces tableaux homologués s’inscrire au tableau handicap.</w:t>
      </w:r>
    </w:p>
    <w:p w:rsidR="00622C79" w:rsidRDefault="00622C79">
      <w:pPr>
        <w:pStyle w:val="Corpsdetexte"/>
        <w:spacing w:before="1"/>
        <w:ind w:left="0"/>
        <w:rPr>
          <w:sz w:val="20"/>
        </w:rPr>
      </w:pPr>
    </w:p>
    <w:p w:rsidR="00622C79" w:rsidRDefault="00E023E3">
      <w:pPr>
        <w:spacing w:before="1"/>
        <w:ind w:left="1216"/>
        <w:jc w:val="both"/>
        <w:rPr>
          <w:sz w:val="24"/>
        </w:rPr>
      </w:pPr>
      <w:r>
        <w:rPr>
          <w:rFonts w:ascii="Cambria" w:hAnsi="Cambria"/>
          <w:b/>
          <w:color w:val="4F81BC"/>
          <w:sz w:val="26"/>
        </w:rPr>
        <w:t xml:space="preserve">Article 5 : </w:t>
      </w:r>
      <w:r>
        <w:rPr>
          <w:sz w:val="24"/>
        </w:rPr>
        <w:t>Coût des engagements :</w:t>
      </w:r>
    </w:p>
    <w:p w:rsidR="00622C79" w:rsidRDefault="00E023E3">
      <w:pPr>
        <w:pStyle w:val="Corpsdetexte"/>
        <w:spacing w:before="244"/>
        <w:ind w:right="6631"/>
      </w:pPr>
      <w:r>
        <w:t xml:space="preserve">Tableaux A.B.: 5€/joueur Tableaux </w:t>
      </w:r>
      <w:r w:rsidR="00AD650C">
        <w:t>D.E.</w:t>
      </w:r>
      <w:r>
        <w:t xml:space="preserve">F.G.H.I.J.K.L. : 6€/joueur Tableau </w:t>
      </w:r>
      <w:r w:rsidR="001A4578">
        <w:t>M</w:t>
      </w:r>
      <w:r>
        <w:t xml:space="preserve"> :</w:t>
      </w:r>
      <w:r>
        <w:rPr>
          <w:spacing w:val="-1"/>
        </w:rPr>
        <w:t xml:space="preserve"> </w:t>
      </w:r>
      <w:r>
        <w:t>8€/joueur</w:t>
      </w:r>
    </w:p>
    <w:p w:rsidR="00622C79" w:rsidRDefault="00E023E3">
      <w:pPr>
        <w:pStyle w:val="Corpsdetexte"/>
        <w:spacing w:line="292" w:lineRule="exact"/>
      </w:pPr>
      <w:r>
        <w:t>Tableau C :</w:t>
      </w:r>
      <w:r>
        <w:rPr>
          <w:spacing w:val="-5"/>
        </w:rPr>
        <w:t xml:space="preserve"> </w:t>
      </w:r>
      <w:r>
        <w:t>8€/équipe</w:t>
      </w:r>
    </w:p>
    <w:p w:rsidR="00622C79" w:rsidRDefault="00622C79">
      <w:pPr>
        <w:pStyle w:val="Corpsdetexte"/>
        <w:spacing w:before="10"/>
        <w:ind w:left="0"/>
        <w:rPr>
          <w:sz w:val="23"/>
        </w:rPr>
      </w:pPr>
    </w:p>
    <w:p w:rsidR="00622C79" w:rsidRDefault="00E023E3">
      <w:pPr>
        <w:pStyle w:val="Corpsdetexte"/>
        <w:spacing w:line="276" w:lineRule="auto"/>
        <w:ind w:right="492"/>
        <w:jc w:val="both"/>
      </w:pPr>
      <w:r>
        <w:rPr>
          <w:rFonts w:ascii="Cambria" w:hAnsi="Cambria"/>
          <w:b/>
          <w:color w:val="4F81BC"/>
          <w:sz w:val="26"/>
        </w:rPr>
        <w:t xml:space="preserve">Article 6 : </w:t>
      </w:r>
      <w:r>
        <w:t>La dotation totale du tournoi sera répartie en lots et récompenses. Les vainqueurs et les finalistes seront récompensés pour chacun des tableaux.</w:t>
      </w:r>
    </w:p>
    <w:p w:rsidR="00622C79" w:rsidRDefault="00E023E3">
      <w:pPr>
        <w:pStyle w:val="Corpsdetexte"/>
        <w:spacing w:before="204" w:line="276" w:lineRule="auto"/>
        <w:ind w:right="490"/>
        <w:jc w:val="both"/>
      </w:pPr>
      <w:r>
        <w:t>Si les tableaux ne contiennent pas suffisamment d’inscrits, la dotation pourra être revue à la baisse.</w:t>
      </w:r>
    </w:p>
    <w:p w:rsidR="00622C79" w:rsidRDefault="00E023E3">
      <w:pPr>
        <w:pStyle w:val="Corpsdetexte"/>
        <w:spacing w:before="200" w:line="276" w:lineRule="auto"/>
        <w:ind w:right="485"/>
        <w:jc w:val="both"/>
      </w:pPr>
      <w:r>
        <w:t>Un challenge à remettre en jeu chaque année, récompensera le meilleur club. L’attribution de ce challenge se fera pour l’ensemble des tableaux de la manière suivante :</w:t>
      </w:r>
    </w:p>
    <w:p w:rsidR="00622C79" w:rsidRDefault="00E023E3">
      <w:pPr>
        <w:pStyle w:val="Corpsdetexte"/>
        <w:spacing w:before="199"/>
        <w:ind w:right="6807"/>
      </w:pPr>
      <w:r>
        <w:t>Vainqueur du tableau : 4 points Finaliste du tableau : 2 points Demi-finaliste du tableau : 1 point</w:t>
      </w:r>
    </w:p>
    <w:p w:rsidR="00622C79" w:rsidRDefault="00E023E3">
      <w:pPr>
        <w:pStyle w:val="Corpsdetexte"/>
        <w:spacing w:line="292" w:lineRule="exact"/>
      </w:pPr>
      <w:r>
        <w:t>Un bonus de 4 points sera offert au club présentant le plus de joueurs</w:t>
      </w:r>
    </w:p>
    <w:p w:rsidR="00622C79" w:rsidRDefault="00622C79">
      <w:pPr>
        <w:pStyle w:val="Corpsdetexte"/>
        <w:spacing w:before="10"/>
        <w:ind w:left="0"/>
        <w:rPr>
          <w:sz w:val="23"/>
        </w:rPr>
      </w:pPr>
    </w:p>
    <w:p w:rsidR="00622C79" w:rsidRDefault="00E023E3">
      <w:pPr>
        <w:pStyle w:val="Corpsdetexte"/>
        <w:spacing w:line="276" w:lineRule="auto"/>
        <w:ind w:right="482"/>
        <w:jc w:val="both"/>
      </w:pPr>
      <w:r>
        <w:rPr>
          <w:rFonts w:ascii="Cambria" w:hAnsi="Cambria"/>
          <w:b/>
          <w:color w:val="4F81BC"/>
          <w:sz w:val="26"/>
        </w:rPr>
        <w:t xml:space="preserve">Article 7 : </w:t>
      </w:r>
      <w:r>
        <w:t>Les tableaux se joueront par poule de 3, 2 qualifiés par poule, puis élimination directe. Le club se réserve un droit de modification en fonction du nombre de participants. Des matchs de classement pourront être fait ou non en fonction de l’horaire et au bon vouloir du juge-arbitre.</w:t>
      </w:r>
    </w:p>
    <w:p w:rsidR="00622C79" w:rsidRDefault="00E023E3">
      <w:pPr>
        <w:pStyle w:val="Corpsdetexte"/>
        <w:spacing w:before="203"/>
        <w:jc w:val="both"/>
      </w:pPr>
      <w:r>
        <w:rPr>
          <w:rFonts w:ascii="Cambria" w:hAnsi="Cambria"/>
          <w:b/>
          <w:color w:val="4F81BC"/>
          <w:sz w:val="26"/>
        </w:rPr>
        <w:t xml:space="preserve">Article 8 : </w:t>
      </w:r>
      <w:r>
        <w:t>Tableau Double : Il sera à élimination directe. Limité à 32 équipes par tableau.</w:t>
      </w:r>
    </w:p>
    <w:p w:rsidR="00622C79" w:rsidRDefault="00E023E3">
      <w:pPr>
        <w:pStyle w:val="Corpsdetexte"/>
        <w:spacing w:before="243" w:line="276" w:lineRule="auto"/>
        <w:ind w:right="491"/>
        <w:jc w:val="both"/>
      </w:pPr>
      <w:r>
        <w:rPr>
          <w:rFonts w:ascii="Cambria" w:hAnsi="Cambria"/>
          <w:b/>
          <w:color w:val="4F81BC"/>
          <w:sz w:val="26"/>
        </w:rPr>
        <w:t xml:space="preserve">Article 9 : </w:t>
      </w:r>
      <w:r>
        <w:t>Les parties se dérouleront au meilleur des 5 manches en 11 points. Après son élimination, chaque joueur devra arbitrer au moins un match. L’arbitre sera tenu de rapporter la fiche de partie à la table d’arbitrage après chaque partie.</w:t>
      </w:r>
    </w:p>
    <w:p w:rsidR="00622C79" w:rsidRDefault="00E023E3">
      <w:pPr>
        <w:pStyle w:val="Corpsdetexte"/>
        <w:spacing w:before="200" w:line="276" w:lineRule="auto"/>
        <w:ind w:right="485"/>
        <w:jc w:val="both"/>
      </w:pPr>
      <w:r>
        <w:rPr>
          <w:rFonts w:ascii="Cambria" w:hAnsi="Cambria"/>
          <w:b/>
          <w:color w:val="4F81BC"/>
          <w:sz w:val="26"/>
        </w:rPr>
        <w:t xml:space="preserve">Article 9 bis : </w:t>
      </w:r>
      <w:r w:rsidR="00AD650C">
        <w:t>Le tableau Handicap (M</w:t>
      </w:r>
      <w:r>
        <w:t>) est un tableau à élimination  directe,  ouvert  aux licenciés. Il se jouera en 5 manches de 11 points avec changement de services tous les 2 points. Le handicap sera de 1 point par classement avec un maximum de 7 points</w:t>
      </w:r>
      <w:r>
        <w:rPr>
          <w:spacing w:val="-4"/>
        </w:rPr>
        <w:t xml:space="preserve"> </w:t>
      </w:r>
      <w:r>
        <w:t>d’écart.</w:t>
      </w:r>
    </w:p>
    <w:p w:rsidR="00622C79" w:rsidRDefault="00E023E3">
      <w:pPr>
        <w:pStyle w:val="Corpsdetexte"/>
        <w:spacing w:before="203" w:line="276" w:lineRule="auto"/>
        <w:ind w:right="483"/>
        <w:jc w:val="both"/>
      </w:pPr>
      <w:r>
        <w:t>Exemple : Un joueur classé 6 avec 625 points débutera chaque manche à 7– 0 contre un joueur classé 14 avec 1457 points. Un joueur classé 6 avec 625 points débutera chaque manche à 3– 0 contre un joueur classé 9 avec 957 points.</w:t>
      </w:r>
    </w:p>
    <w:p w:rsidR="00622C79" w:rsidRDefault="00E023E3">
      <w:pPr>
        <w:pStyle w:val="Corpsdetexte"/>
        <w:spacing w:before="199" w:line="242" w:lineRule="auto"/>
        <w:ind w:right="483"/>
        <w:jc w:val="both"/>
      </w:pPr>
      <w:r>
        <w:rPr>
          <w:rFonts w:ascii="Cambria" w:hAnsi="Cambria"/>
          <w:b/>
          <w:color w:val="4F81BC"/>
          <w:sz w:val="26"/>
        </w:rPr>
        <w:t xml:space="preserve">Article 10 : </w:t>
      </w:r>
      <w:r>
        <w:t xml:space="preserve">Les inscriptions devront parvenir impérativement avant le mercredi </w:t>
      </w:r>
      <w:r w:rsidR="00CB6EB6">
        <w:t>2</w:t>
      </w:r>
      <w:r w:rsidR="002D0C8B">
        <w:t>7</w:t>
      </w:r>
      <w:r>
        <w:t xml:space="preserve"> octobre 20</w:t>
      </w:r>
      <w:r w:rsidR="002D0C8B">
        <w:t>21</w:t>
      </w:r>
      <w:r>
        <w:t xml:space="preserve"> à 20h00, soit à:</w:t>
      </w:r>
    </w:p>
    <w:p w:rsidR="00622C79" w:rsidRDefault="00CB6EB6">
      <w:pPr>
        <w:pStyle w:val="Corpsdetexte"/>
        <w:spacing w:line="289" w:lineRule="exact"/>
        <w:ind w:left="1782"/>
      </w:pPr>
      <w:r>
        <w:t>Yannick HIRBET : 06 26 36 48 98</w:t>
      </w:r>
    </w:p>
    <w:p w:rsidR="00622C79" w:rsidRDefault="00E023E3">
      <w:pPr>
        <w:pStyle w:val="Corpsdetexte"/>
        <w:ind w:left="1782" w:right="7078"/>
      </w:pPr>
      <w:r>
        <w:t xml:space="preserve">Mail : </w:t>
      </w:r>
      <w:hyperlink r:id="rId5">
        <w:r>
          <w:rPr>
            <w:color w:val="0000FF"/>
            <w:u w:val="single" w:color="0000FF"/>
          </w:rPr>
          <w:t>ppci@orange.fr</w:t>
        </w:r>
      </w:hyperlink>
      <w:r>
        <w:rPr>
          <w:color w:val="0000FF"/>
        </w:rPr>
        <w:t xml:space="preserve"> </w:t>
      </w:r>
      <w:r>
        <w:t xml:space="preserve">Courrier : </w:t>
      </w:r>
      <w:r w:rsidR="00CB6EB6">
        <w:t>Yannick HIRBET</w:t>
      </w:r>
    </w:p>
    <w:p w:rsidR="00E023E3" w:rsidRDefault="00CB6EB6" w:rsidP="00E023E3">
      <w:pPr>
        <w:pStyle w:val="Corpsdetexte"/>
        <w:ind w:left="2160" w:right="6739"/>
      </w:pPr>
      <w:r>
        <w:t>10 Rue Louis Aragon</w:t>
      </w:r>
      <w:r w:rsidR="00E023E3">
        <w:t xml:space="preserve"> </w:t>
      </w:r>
      <w:r w:rsidR="00E023E3">
        <w:br/>
        <w:t>36100 ISSOUDUN</w:t>
      </w:r>
    </w:p>
    <w:p w:rsidR="00622C79" w:rsidRDefault="00622C79">
      <w:pPr>
        <w:sectPr w:rsidR="00622C79">
          <w:pgSz w:w="11910" w:h="16840"/>
          <w:pgMar w:top="760" w:right="360" w:bottom="0" w:left="200" w:header="720" w:footer="720" w:gutter="0"/>
          <w:cols w:space="720"/>
        </w:sectPr>
      </w:pPr>
      <w:bookmarkStart w:id="0" w:name="_GoBack"/>
      <w:bookmarkEnd w:id="0"/>
    </w:p>
    <w:p w:rsidR="00622C79" w:rsidRDefault="00E023E3">
      <w:pPr>
        <w:pStyle w:val="Corpsdetexte"/>
        <w:spacing w:before="71"/>
        <w:ind w:right="484"/>
        <w:jc w:val="both"/>
      </w:pPr>
      <w:r>
        <w:rPr>
          <w:rFonts w:ascii="Cambria" w:hAnsi="Cambria"/>
          <w:b/>
          <w:color w:val="4F81BC"/>
          <w:sz w:val="26"/>
        </w:rPr>
        <w:lastRenderedPageBreak/>
        <w:t xml:space="preserve">Article 11 : </w:t>
      </w:r>
      <w:r>
        <w:t>La compétition se déroulera sans interruption. Une buvette et un point restauration seront mis en place tout au long de la journée. Pendant la compétition, il est formellement interdit de manger dans l’aire de jeu.</w:t>
      </w:r>
    </w:p>
    <w:p w:rsidR="00622C79" w:rsidRDefault="00622C79">
      <w:pPr>
        <w:pStyle w:val="Corpsdetexte"/>
        <w:spacing w:before="7"/>
        <w:ind w:left="0"/>
        <w:rPr>
          <w:sz w:val="25"/>
        </w:rPr>
      </w:pPr>
    </w:p>
    <w:p w:rsidR="00622C79" w:rsidRDefault="00E023E3">
      <w:pPr>
        <w:pStyle w:val="Corpsdetexte"/>
        <w:spacing w:line="276" w:lineRule="auto"/>
        <w:ind w:right="490"/>
        <w:jc w:val="both"/>
      </w:pPr>
      <w:r>
        <w:rPr>
          <w:rFonts w:ascii="Cambria" w:hAnsi="Cambria"/>
          <w:b/>
          <w:color w:val="4F81BC"/>
          <w:sz w:val="26"/>
        </w:rPr>
        <w:t xml:space="preserve">Article 12 : </w:t>
      </w:r>
      <w:r>
        <w:t>Tout engagement vaut acceptation du présent règlement. Le PPCI décline toute responsabilité civile et pénale en cas de perte, vol, bris de matériel ou accident pouvant survenir lors du tournoi, dans la salle, les vestiaires, les abords et les trajets.</w:t>
      </w:r>
    </w:p>
    <w:p w:rsidR="00622C79" w:rsidRDefault="00E023E3">
      <w:pPr>
        <w:pStyle w:val="Corpsdetexte"/>
        <w:spacing w:before="198" w:line="276" w:lineRule="auto"/>
        <w:ind w:right="492"/>
        <w:jc w:val="both"/>
      </w:pPr>
      <w:r>
        <w:rPr>
          <w:rFonts w:ascii="Cambria" w:hAnsi="Cambria"/>
          <w:b/>
          <w:color w:val="4F81BC"/>
          <w:sz w:val="26"/>
        </w:rPr>
        <w:t xml:space="preserve">Article 13 </w:t>
      </w:r>
      <w:r>
        <w:rPr>
          <w:rFonts w:ascii="Cambria" w:hAnsi="Cambria"/>
          <w:b/>
          <w:color w:val="4F81BC"/>
        </w:rPr>
        <w:t xml:space="preserve">: </w:t>
      </w:r>
      <w:r>
        <w:t>Le règlement appliqué est le règlement fédéral FFTT, la tenue de sport sera exigée dans les aires de jeu. Les balles seront fournies par les joueurs.</w:t>
      </w:r>
    </w:p>
    <w:p w:rsidR="00622C79" w:rsidRDefault="00E023E3">
      <w:pPr>
        <w:pStyle w:val="Corpsdetexte"/>
        <w:spacing w:before="201" w:line="276" w:lineRule="auto"/>
        <w:ind w:right="491"/>
        <w:jc w:val="both"/>
      </w:pPr>
      <w:r>
        <w:rPr>
          <w:rFonts w:ascii="Cambria" w:hAnsi="Cambria"/>
          <w:b/>
          <w:color w:val="4F81BC"/>
          <w:sz w:val="26"/>
        </w:rPr>
        <w:t xml:space="preserve">Article 14 : </w:t>
      </w:r>
      <w:r>
        <w:t>Le juge arbitre du tournoi sera seul habilité à régler les litiges prévus ou non au présent règlement et à prendre les décisions nécessaires au bon déroulement de l’épreuve.</w:t>
      </w:r>
    </w:p>
    <w:p w:rsidR="00622C79" w:rsidRDefault="00E023E3">
      <w:pPr>
        <w:pStyle w:val="Corpsdetexte"/>
        <w:spacing w:before="203"/>
        <w:jc w:val="both"/>
      </w:pPr>
      <w:r>
        <w:t>Ses décisions seront sans appel.</w:t>
      </w:r>
    </w:p>
    <w:sectPr w:rsidR="00622C79">
      <w:pgSz w:w="11910" w:h="16840"/>
      <w:pgMar w:top="760" w:right="3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79"/>
    <w:rsid w:val="001A4578"/>
    <w:rsid w:val="002D0C8B"/>
    <w:rsid w:val="00622C79"/>
    <w:rsid w:val="00AD650C"/>
    <w:rsid w:val="00C47708"/>
    <w:rsid w:val="00CB6EB6"/>
    <w:rsid w:val="00D14E90"/>
    <w:rsid w:val="00E023E3"/>
    <w:rsid w:val="00E0723C"/>
    <w:rsid w:val="00E32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8B4B7-901B-4B0D-8121-CF1DAE03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4759" w:right="4030"/>
      <w:jc w:val="center"/>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16"/>
    </w:pPr>
    <w:rPr>
      <w:sz w:val="24"/>
      <w:szCs w:val="24"/>
    </w:rPr>
  </w:style>
  <w:style w:type="paragraph" w:styleId="Titre">
    <w:name w:val="Title"/>
    <w:basedOn w:val="Normal"/>
    <w:uiPriority w:val="1"/>
    <w:qFormat/>
    <w:pPr>
      <w:spacing w:before="101"/>
      <w:ind w:left="4759" w:right="4032"/>
      <w:jc w:val="center"/>
    </w:pPr>
    <w:rPr>
      <w:rFonts w:ascii="Cambria" w:eastAsia="Cambria" w:hAnsi="Cambria" w:cs="Cambria"/>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52"/>
      <w:ind w:left="255"/>
      <w:jc w:val="center"/>
    </w:pPr>
  </w:style>
  <w:style w:type="paragraph" w:styleId="Textedebulles">
    <w:name w:val="Balloon Text"/>
    <w:basedOn w:val="Normal"/>
    <w:link w:val="TextedebullesCar"/>
    <w:uiPriority w:val="99"/>
    <w:semiHidden/>
    <w:unhideWhenUsed/>
    <w:rsid w:val="00C477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708"/>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ci@orange.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COVEA</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A3613A04</cp:lastModifiedBy>
  <cp:revision>3</cp:revision>
  <cp:lastPrinted>2021-10-02T08:20:00Z</cp:lastPrinted>
  <dcterms:created xsi:type="dcterms:W3CDTF">2021-09-25T10:32:00Z</dcterms:created>
  <dcterms:modified xsi:type="dcterms:W3CDTF">2021-10-02T08:20:00Z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Microsoft® Word 2010</vt:lpwstr>
  </property>
  <property fmtid="{D5CDD505-2E9C-101B-9397-08002B2CF9AE}" pid="4" name="LastSaved">
    <vt:filetime>2020-06-02T00:00:00Z</vt:filetime>
  </property>
</Properties>
</file>